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B4" w:rsidRPr="00122816" w:rsidRDefault="00EB06B4" w:rsidP="00122816">
      <w:pPr>
        <w:jc w:val="center"/>
        <w:rPr>
          <w:b/>
        </w:rPr>
      </w:pPr>
      <w:r w:rsidRPr="00122816">
        <w:rPr>
          <w:b/>
        </w:rPr>
        <w:t xml:space="preserve">С П Р А В К А </w:t>
      </w:r>
    </w:p>
    <w:p w:rsidR="00EB06B4" w:rsidRPr="00122816" w:rsidRDefault="00EB06B4" w:rsidP="00122816">
      <w:pPr>
        <w:jc w:val="center"/>
        <w:rPr>
          <w:b/>
        </w:rPr>
      </w:pPr>
    </w:p>
    <w:p w:rsidR="00176847" w:rsidRPr="00122816" w:rsidRDefault="000F5A2E" w:rsidP="00122816">
      <w:pPr>
        <w:jc w:val="center"/>
        <w:rPr>
          <w:color w:val="000000"/>
        </w:rPr>
      </w:pPr>
      <w:r w:rsidRPr="00122816">
        <w:rPr>
          <w:b/>
        </w:rPr>
        <w:t xml:space="preserve">за отразяване на приети и неприети </w:t>
      </w:r>
      <w:r w:rsidR="00176847" w:rsidRPr="00122816">
        <w:rPr>
          <w:b/>
        </w:rPr>
        <w:t>предложения</w:t>
      </w:r>
      <w:r w:rsidR="00D61BDB">
        <w:rPr>
          <w:b/>
        </w:rPr>
        <w:t xml:space="preserve">, постъпили </w:t>
      </w:r>
      <w:r w:rsidRPr="00122816">
        <w:rPr>
          <w:b/>
        </w:rPr>
        <w:t>от процедур</w:t>
      </w:r>
      <w:r w:rsidR="0015589B">
        <w:rPr>
          <w:b/>
        </w:rPr>
        <w:t>ата</w:t>
      </w:r>
      <w:r w:rsidRPr="00122816">
        <w:rPr>
          <w:b/>
        </w:rPr>
        <w:t xml:space="preserve"> по обществени консултации </w:t>
      </w:r>
      <w:r w:rsidR="00EB06B4" w:rsidRPr="00122816">
        <w:rPr>
          <w:b/>
        </w:rPr>
        <w:t xml:space="preserve">по проекта на </w:t>
      </w:r>
      <w:r w:rsidR="00202B80" w:rsidRPr="00122816">
        <w:rPr>
          <w:b/>
        </w:rPr>
        <w:t>Наредба за изменение и допълнение на Наредба № 2 от 200</w:t>
      </w:r>
      <w:r w:rsidR="000F431A" w:rsidRPr="00122816">
        <w:rPr>
          <w:b/>
        </w:rPr>
        <w:t>3</w:t>
      </w:r>
      <w:r w:rsidR="00202B80" w:rsidRPr="00122816">
        <w:rPr>
          <w:b/>
        </w:rPr>
        <w:t xml:space="preserve"> г. </w:t>
      </w:r>
      <w:r w:rsidR="00176847" w:rsidRPr="00122816">
        <w:rPr>
          <w:b/>
        </w:rPr>
        <w:t>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176847" w:rsidRPr="00122816">
        <w:rPr>
          <w:color w:val="000000"/>
          <w:lang w:val="en"/>
        </w:rPr>
        <w:t xml:space="preserve"> </w:t>
      </w:r>
    </w:p>
    <w:p w:rsidR="00EB06B4" w:rsidRPr="00122816" w:rsidRDefault="00176847" w:rsidP="00122816">
      <w:pPr>
        <w:jc w:val="center"/>
        <w:rPr>
          <w:color w:val="FF0000"/>
        </w:rPr>
      </w:pPr>
      <w:r w:rsidRPr="00122816">
        <w:rPr>
          <w:color w:val="000000"/>
          <w:lang w:val="en"/>
        </w:rPr>
        <w:t>(</w:t>
      </w:r>
      <w:proofErr w:type="spellStart"/>
      <w:r w:rsidRPr="00122816">
        <w:rPr>
          <w:color w:val="000000"/>
          <w:lang w:val="en"/>
        </w:rPr>
        <w:t>обн</w:t>
      </w:r>
      <w:proofErr w:type="spellEnd"/>
      <w:r w:rsidRPr="00122816">
        <w:rPr>
          <w:color w:val="000000"/>
          <w:lang w:val="en"/>
        </w:rPr>
        <w:t xml:space="preserve">., ДВ, </w:t>
      </w:r>
      <w:proofErr w:type="spellStart"/>
      <w:r w:rsidRPr="00122816">
        <w:rPr>
          <w:color w:val="000000"/>
          <w:lang w:val="en"/>
        </w:rPr>
        <w:t>бр</w:t>
      </w:r>
      <w:proofErr w:type="spellEnd"/>
      <w:r w:rsidRPr="00122816">
        <w:rPr>
          <w:color w:val="000000"/>
          <w:lang w:val="en"/>
        </w:rPr>
        <w:t xml:space="preserve">. 72 </w:t>
      </w:r>
      <w:proofErr w:type="spellStart"/>
      <w:r w:rsidRPr="00122816">
        <w:rPr>
          <w:color w:val="000000"/>
          <w:lang w:val="en"/>
        </w:rPr>
        <w:t>от</w:t>
      </w:r>
      <w:proofErr w:type="spellEnd"/>
      <w:r w:rsidRPr="00122816">
        <w:rPr>
          <w:color w:val="000000"/>
          <w:lang w:val="en"/>
        </w:rPr>
        <w:t xml:space="preserve"> 2003 г.; </w:t>
      </w:r>
      <w:proofErr w:type="spellStart"/>
      <w:r w:rsidRPr="00122816">
        <w:rPr>
          <w:color w:val="000000"/>
          <w:lang w:val="en"/>
        </w:rPr>
        <w:t>изм</w:t>
      </w:r>
      <w:proofErr w:type="spellEnd"/>
      <w:r w:rsidRPr="00122816">
        <w:rPr>
          <w:color w:val="000000"/>
          <w:lang w:val="en"/>
        </w:rPr>
        <w:t xml:space="preserve">. и </w:t>
      </w:r>
      <w:proofErr w:type="spellStart"/>
      <w:r w:rsidRPr="00122816">
        <w:rPr>
          <w:color w:val="000000"/>
          <w:lang w:val="en"/>
        </w:rPr>
        <w:t>доп</w:t>
      </w:r>
      <w:proofErr w:type="spellEnd"/>
      <w:r w:rsidRPr="00122816">
        <w:rPr>
          <w:color w:val="000000"/>
          <w:lang w:val="en"/>
        </w:rPr>
        <w:t xml:space="preserve">., </w:t>
      </w:r>
      <w:proofErr w:type="spellStart"/>
      <w:r w:rsidRPr="00122816">
        <w:rPr>
          <w:color w:val="000000"/>
          <w:lang w:val="en"/>
        </w:rPr>
        <w:t>бр</w:t>
      </w:r>
      <w:proofErr w:type="spellEnd"/>
      <w:r w:rsidRPr="00122816">
        <w:rPr>
          <w:color w:val="000000"/>
          <w:lang w:val="en"/>
        </w:rPr>
        <w:t xml:space="preserve">. 49 </w:t>
      </w:r>
      <w:proofErr w:type="spellStart"/>
      <w:r w:rsidRPr="00122816">
        <w:rPr>
          <w:color w:val="000000"/>
          <w:lang w:val="en"/>
        </w:rPr>
        <w:t>от</w:t>
      </w:r>
      <w:proofErr w:type="spellEnd"/>
      <w:r w:rsidRPr="00122816">
        <w:rPr>
          <w:color w:val="000000"/>
          <w:lang w:val="en"/>
        </w:rPr>
        <w:t xml:space="preserve"> 2005 г., </w:t>
      </w:r>
      <w:proofErr w:type="spellStart"/>
      <w:r w:rsidRPr="00122816">
        <w:rPr>
          <w:color w:val="000000"/>
          <w:lang w:val="en"/>
        </w:rPr>
        <w:t>бр</w:t>
      </w:r>
      <w:proofErr w:type="spellEnd"/>
      <w:r w:rsidRPr="00122816">
        <w:rPr>
          <w:color w:val="000000"/>
          <w:lang w:val="en"/>
        </w:rPr>
        <w:t xml:space="preserve">. 98 </w:t>
      </w:r>
      <w:proofErr w:type="spellStart"/>
      <w:r w:rsidRPr="00122816">
        <w:rPr>
          <w:color w:val="000000"/>
          <w:lang w:val="en"/>
        </w:rPr>
        <w:t>от</w:t>
      </w:r>
      <w:proofErr w:type="spellEnd"/>
      <w:r w:rsidRPr="00122816">
        <w:rPr>
          <w:color w:val="000000"/>
          <w:lang w:val="en"/>
        </w:rPr>
        <w:t xml:space="preserve"> 2012 г., </w:t>
      </w:r>
      <w:proofErr w:type="spellStart"/>
      <w:r w:rsidRPr="00122816">
        <w:rPr>
          <w:color w:val="000000"/>
          <w:lang w:val="en"/>
        </w:rPr>
        <w:t>бр</w:t>
      </w:r>
      <w:proofErr w:type="spellEnd"/>
      <w:r w:rsidRPr="00122816">
        <w:rPr>
          <w:color w:val="000000"/>
          <w:lang w:val="en"/>
        </w:rPr>
        <w:t xml:space="preserve">. 65 </w:t>
      </w:r>
      <w:proofErr w:type="spellStart"/>
      <w:r w:rsidRPr="00122816">
        <w:rPr>
          <w:color w:val="000000"/>
          <w:lang w:val="en"/>
        </w:rPr>
        <w:t>от</w:t>
      </w:r>
      <w:proofErr w:type="spellEnd"/>
      <w:r w:rsidRPr="00122816">
        <w:rPr>
          <w:color w:val="000000"/>
          <w:lang w:val="en"/>
        </w:rPr>
        <w:t xml:space="preserve"> 2016 г. и </w:t>
      </w:r>
      <w:proofErr w:type="spellStart"/>
      <w:r w:rsidRPr="00122816">
        <w:rPr>
          <w:color w:val="000000"/>
          <w:lang w:val="en"/>
        </w:rPr>
        <w:t>бр</w:t>
      </w:r>
      <w:proofErr w:type="spellEnd"/>
      <w:r w:rsidRPr="00122816">
        <w:rPr>
          <w:color w:val="000000"/>
          <w:lang w:val="en"/>
        </w:rPr>
        <w:t xml:space="preserve">. 87 </w:t>
      </w:r>
      <w:proofErr w:type="spellStart"/>
      <w:r w:rsidRPr="00122816">
        <w:rPr>
          <w:color w:val="000000"/>
          <w:lang w:val="en"/>
        </w:rPr>
        <w:t>от</w:t>
      </w:r>
      <w:proofErr w:type="spellEnd"/>
      <w:r w:rsidRPr="00122816">
        <w:rPr>
          <w:color w:val="000000"/>
          <w:lang w:val="en"/>
        </w:rPr>
        <w:t xml:space="preserve"> 2017 г.)</w:t>
      </w:r>
    </w:p>
    <w:p w:rsidR="00EB06B4" w:rsidRPr="00122816" w:rsidRDefault="00EB06B4" w:rsidP="00122816"/>
    <w:tbl>
      <w:tblPr>
        <w:tblStyle w:val="TableGrid"/>
        <w:tblW w:w="15573" w:type="dxa"/>
        <w:jc w:val="center"/>
        <w:tblLayout w:type="fixed"/>
        <w:tblLook w:val="04A0" w:firstRow="1" w:lastRow="0" w:firstColumn="1" w:lastColumn="0" w:noHBand="0" w:noVBand="1"/>
      </w:tblPr>
      <w:tblGrid>
        <w:gridCol w:w="578"/>
        <w:gridCol w:w="1768"/>
        <w:gridCol w:w="3118"/>
        <w:gridCol w:w="1985"/>
        <w:gridCol w:w="4394"/>
        <w:gridCol w:w="3730"/>
      </w:tblGrid>
      <w:tr w:rsidR="001840D1" w:rsidRPr="00122816" w:rsidTr="0047211F">
        <w:trPr>
          <w:jc w:val="center"/>
        </w:trPr>
        <w:tc>
          <w:tcPr>
            <w:tcW w:w="578" w:type="dxa"/>
            <w:shd w:val="clear" w:color="auto" w:fill="DBE5F1" w:themeFill="accent1" w:themeFillTint="33"/>
          </w:tcPr>
          <w:p w:rsidR="00CB1486" w:rsidRPr="00122816" w:rsidRDefault="00CB1486" w:rsidP="00122816">
            <w:pPr>
              <w:jc w:val="center"/>
              <w:rPr>
                <w:b/>
              </w:rPr>
            </w:pPr>
          </w:p>
          <w:p w:rsidR="00733E52" w:rsidRPr="00122816" w:rsidRDefault="00733E52" w:rsidP="00122816">
            <w:pPr>
              <w:jc w:val="center"/>
              <w:rPr>
                <w:b/>
              </w:rPr>
            </w:pPr>
            <w:r w:rsidRPr="00122816">
              <w:rPr>
                <w:b/>
              </w:rPr>
              <w:t>№ по ред</w:t>
            </w:r>
          </w:p>
        </w:tc>
        <w:tc>
          <w:tcPr>
            <w:tcW w:w="1768" w:type="dxa"/>
            <w:shd w:val="clear" w:color="auto" w:fill="DBE5F1" w:themeFill="accent1" w:themeFillTint="33"/>
          </w:tcPr>
          <w:p w:rsidR="00733E52" w:rsidRPr="00122816" w:rsidRDefault="00733E52" w:rsidP="00122816">
            <w:pPr>
              <w:jc w:val="center"/>
              <w:rPr>
                <w:b/>
              </w:rPr>
            </w:pPr>
          </w:p>
          <w:p w:rsidR="006E2EA0" w:rsidRDefault="00733E52" w:rsidP="00122816">
            <w:pPr>
              <w:jc w:val="center"/>
              <w:rPr>
                <w:b/>
              </w:rPr>
            </w:pPr>
            <w:r w:rsidRPr="00122816">
              <w:rPr>
                <w:b/>
              </w:rPr>
              <w:t>Институция/</w:t>
            </w:r>
          </w:p>
          <w:p w:rsidR="00733E52" w:rsidRPr="00122816" w:rsidRDefault="00733E52" w:rsidP="00122816">
            <w:pPr>
              <w:jc w:val="center"/>
              <w:rPr>
                <w:b/>
              </w:rPr>
            </w:pPr>
            <w:r w:rsidRPr="00122816">
              <w:rPr>
                <w:b/>
              </w:rPr>
              <w:t>организация</w:t>
            </w:r>
          </w:p>
        </w:tc>
        <w:tc>
          <w:tcPr>
            <w:tcW w:w="3118" w:type="dxa"/>
            <w:shd w:val="clear" w:color="auto" w:fill="DBE5F1" w:themeFill="accent1" w:themeFillTint="33"/>
          </w:tcPr>
          <w:p w:rsidR="00733E52" w:rsidRPr="00122816" w:rsidRDefault="00733E52" w:rsidP="00122816">
            <w:pPr>
              <w:rPr>
                <w:b/>
              </w:rPr>
            </w:pPr>
          </w:p>
          <w:p w:rsidR="00733E52" w:rsidRPr="00122816" w:rsidRDefault="00733E52" w:rsidP="00122816">
            <w:pPr>
              <w:jc w:val="center"/>
              <w:rPr>
                <w:b/>
              </w:rPr>
            </w:pPr>
            <w:r w:rsidRPr="00122816">
              <w:rPr>
                <w:b/>
              </w:rPr>
              <w:t>Предложение</w:t>
            </w:r>
          </w:p>
        </w:tc>
        <w:tc>
          <w:tcPr>
            <w:tcW w:w="1985" w:type="dxa"/>
            <w:shd w:val="clear" w:color="auto" w:fill="DBE5F1" w:themeFill="accent1" w:themeFillTint="33"/>
          </w:tcPr>
          <w:p w:rsidR="00733E52" w:rsidRPr="00122816" w:rsidRDefault="00733E52" w:rsidP="00122816">
            <w:pPr>
              <w:rPr>
                <w:b/>
              </w:rPr>
            </w:pPr>
          </w:p>
          <w:p w:rsidR="00733E52" w:rsidRPr="00122816" w:rsidRDefault="00733E52" w:rsidP="00122816">
            <w:pPr>
              <w:jc w:val="center"/>
              <w:rPr>
                <w:b/>
              </w:rPr>
            </w:pPr>
            <w:r w:rsidRPr="00122816">
              <w:rPr>
                <w:b/>
              </w:rPr>
              <w:t>Приема/не се приема предложението</w:t>
            </w:r>
          </w:p>
        </w:tc>
        <w:tc>
          <w:tcPr>
            <w:tcW w:w="4394" w:type="dxa"/>
            <w:shd w:val="clear" w:color="auto" w:fill="DBE5F1" w:themeFill="accent1" w:themeFillTint="33"/>
          </w:tcPr>
          <w:p w:rsidR="00733E52" w:rsidRPr="00122816" w:rsidRDefault="00733E52" w:rsidP="00122816">
            <w:pPr>
              <w:jc w:val="center"/>
              <w:rPr>
                <w:b/>
              </w:rPr>
            </w:pPr>
          </w:p>
          <w:p w:rsidR="00733E52" w:rsidRPr="00122816" w:rsidRDefault="00733E52" w:rsidP="00122816">
            <w:pPr>
              <w:jc w:val="center"/>
              <w:rPr>
                <w:b/>
              </w:rPr>
            </w:pPr>
            <w:r w:rsidRPr="00122816">
              <w:rPr>
                <w:b/>
              </w:rPr>
              <w:t>Мотиви на вносителя</w:t>
            </w:r>
          </w:p>
        </w:tc>
        <w:tc>
          <w:tcPr>
            <w:tcW w:w="3730" w:type="dxa"/>
            <w:shd w:val="clear" w:color="auto" w:fill="DBE5F1" w:themeFill="accent1" w:themeFillTint="33"/>
          </w:tcPr>
          <w:p w:rsidR="00733E52" w:rsidRPr="00122816" w:rsidRDefault="00733E52" w:rsidP="00122816">
            <w:pPr>
              <w:jc w:val="center"/>
              <w:rPr>
                <w:b/>
              </w:rPr>
            </w:pPr>
          </w:p>
          <w:p w:rsidR="00733E52" w:rsidRPr="00122816" w:rsidRDefault="00733E52" w:rsidP="00122816">
            <w:pPr>
              <w:jc w:val="center"/>
              <w:rPr>
                <w:b/>
              </w:rPr>
            </w:pPr>
            <w:r w:rsidRPr="00122816">
              <w:rPr>
                <w:b/>
              </w:rPr>
              <w:t xml:space="preserve">Мотиви за </w:t>
            </w:r>
            <w:proofErr w:type="spellStart"/>
            <w:r w:rsidRPr="00122816">
              <w:rPr>
                <w:b/>
              </w:rPr>
              <w:t>неприемане</w:t>
            </w:r>
            <w:proofErr w:type="spellEnd"/>
            <w:r w:rsidRPr="00122816">
              <w:rPr>
                <w:b/>
              </w:rPr>
              <w:t xml:space="preserve"> на предложението</w:t>
            </w:r>
          </w:p>
        </w:tc>
      </w:tr>
      <w:tr w:rsidR="008B4B31" w:rsidRPr="00122816" w:rsidTr="0047211F">
        <w:trPr>
          <w:jc w:val="center"/>
        </w:trPr>
        <w:tc>
          <w:tcPr>
            <w:tcW w:w="578" w:type="dxa"/>
            <w:shd w:val="clear" w:color="auto" w:fill="auto"/>
          </w:tcPr>
          <w:p w:rsidR="00176847" w:rsidRPr="00122816" w:rsidRDefault="003812A8" w:rsidP="00122816">
            <w:pPr>
              <w:jc w:val="center"/>
              <w:rPr>
                <w:color w:val="000000"/>
                <w:lang w:val="en"/>
              </w:rPr>
            </w:pPr>
            <w:r w:rsidRPr="00122816">
              <w:rPr>
                <w:color w:val="000000"/>
                <w:lang w:val="en"/>
              </w:rPr>
              <w:t>1.</w:t>
            </w:r>
          </w:p>
        </w:tc>
        <w:tc>
          <w:tcPr>
            <w:tcW w:w="1768" w:type="dxa"/>
            <w:shd w:val="clear" w:color="auto" w:fill="auto"/>
          </w:tcPr>
          <w:p w:rsidR="00176847" w:rsidRPr="00122816" w:rsidRDefault="006A607F" w:rsidP="005C7413">
            <w:pPr>
              <w:jc w:val="both"/>
              <w:rPr>
                <w:color w:val="000000"/>
              </w:rPr>
            </w:pPr>
            <w:r w:rsidRPr="00122816">
              <w:rPr>
                <w:color w:val="000000"/>
                <w:lang w:val="en"/>
              </w:rPr>
              <w:t>pepa60</w:t>
            </w:r>
            <w:r w:rsidR="00DE634C" w:rsidRPr="00122816">
              <w:rPr>
                <w:color w:val="000000"/>
              </w:rPr>
              <w:t xml:space="preserve"> - </w:t>
            </w:r>
            <w:proofErr w:type="spellStart"/>
            <w:r w:rsidR="005C5AEF" w:rsidRPr="00122816">
              <w:rPr>
                <w:color w:val="000000"/>
                <w:lang w:val="en"/>
              </w:rPr>
              <w:t>Портал</w:t>
            </w:r>
            <w:proofErr w:type="spellEnd"/>
            <w:r w:rsidR="005C5AEF" w:rsidRPr="00122816">
              <w:rPr>
                <w:color w:val="000000"/>
                <w:lang w:val="en"/>
              </w:rPr>
              <w:t xml:space="preserve"> </w:t>
            </w:r>
            <w:proofErr w:type="spellStart"/>
            <w:r w:rsidR="00DE634C" w:rsidRPr="00122816">
              <w:rPr>
                <w:color w:val="000000"/>
                <w:lang w:val="en"/>
              </w:rPr>
              <w:t>за</w:t>
            </w:r>
            <w:proofErr w:type="spellEnd"/>
            <w:r w:rsidR="00DE634C" w:rsidRPr="00122816">
              <w:rPr>
                <w:color w:val="000000"/>
                <w:lang w:val="en"/>
              </w:rPr>
              <w:t xml:space="preserve"> </w:t>
            </w:r>
            <w:proofErr w:type="spellStart"/>
            <w:r w:rsidR="00DE634C" w:rsidRPr="00122816">
              <w:rPr>
                <w:color w:val="000000"/>
                <w:lang w:val="en"/>
              </w:rPr>
              <w:t>обществени</w:t>
            </w:r>
            <w:proofErr w:type="spellEnd"/>
            <w:r w:rsidR="00DE634C" w:rsidRPr="00122816">
              <w:rPr>
                <w:color w:val="000000"/>
                <w:lang w:val="en"/>
              </w:rPr>
              <w:t xml:space="preserve"> </w:t>
            </w:r>
            <w:proofErr w:type="spellStart"/>
            <w:r w:rsidR="00DE634C" w:rsidRPr="00122816">
              <w:rPr>
                <w:color w:val="000000"/>
                <w:lang w:val="en"/>
              </w:rPr>
              <w:t>консултации</w:t>
            </w:r>
            <w:proofErr w:type="spellEnd"/>
            <w:r w:rsidR="00DE634C" w:rsidRPr="00122816">
              <w:rPr>
                <w:color w:val="000000"/>
              </w:rPr>
              <w:t xml:space="preserve"> на Министерския съвет </w:t>
            </w:r>
            <w:r w:rsidR="00B3595C" w:rsidRPr="00122816">
              <w:rPr>
                <w:color w:val="000000"/>
                <w:lang w:val="en"/>
              </w:rPr>
              <w:t>(</w:t>
            </w:r>
            <w:r w:rsidR="00B3595C" w:rsidRPr="00122816">
              <w:rPr>
                <w:color w:val="000000"/>
              </w:rPr>
              <w:t>ПОК на МС</w:t>
            </w:r>
            <w:r w:rsidR="00B3595C" w:rsidRPr="00122816">
              <w:rPr>
                <w:color w:val="000000"/>
                <w:lang w:val="en"/>
              </w:rPr>
              <w:t>)</w:t>
            </w:r>
          </w:p>
        </w:tc>
        <w:tc>
          <w:tcPr>
            <w:tcW w:w="3118" w:type="dxa"/>
            <w:shd w:val="clear" w:color="auto" w:fill="auto"/>
          </w:tcPr>
          <w:p w:rsidR="00176847" w:rsidRPr="00122816" w:rsidRDefault="00DE634C" w:rsidP="00122816">
            <w:pPr>
              <w:jc w:val="both"/>
              <w:rPr>
                <w:color w:val="000000"/>
              </w:rPr>
            </w:pPr>
            <w:proofErr w:type="spellStart"/>
            <w:r w:rsidRPr="00122816">
              <w:rPr>
                <w:color w:val="000000"/>
                <w:lang w:val="en"/>
              </w:rPr>
              <w:t>Не</w:t>
            </w:r>
            <w:proofErr w:type="spellEnd"/>
            <w:r w:rsidRPr="00122816">
              <w:rPr>
                <w:color w:val="000000"/>
                <w:lang w:val="en"/>
              </w:rPr>
              <w:t xml:space="preserve"> </w:t>
            </w:r>
            <w:proofErr w:type="spellStart"/>
            <w:r w:rsidRPr="00122816">
              <w:rPr>
                <w:color w:val="000000"/>
                <w:lang w:val="en"/>
              </w:rPr>
              <w:t>може</w:t>
            </w:r>
            <w:proofErr w:type="spellEnd"/>
            <w:r w:rsidRPr="00122816">
              <w:rPr>
                <w:color w:val="000000"/>
                <w:lang w:val="en"/>
              </w:rPr>
              <w:t xml:space="preserve"> </w:t>
            </w:r>
            <w:proofErr w:type="spellStart"/>
            <w:r w:rsidRPr="00122816">
              <w:rPr>
                <w:color w:val="000000"/>
                <w:lang w:val="en"/>
              </w:rPr>
              <w:t>едно</w:t>
            </w:r>
            <w:proofErr w:type="spellEnd"/>
            <w:r w:rsidRPr="00122816">
              <w:rPr>
                <w:color w:val="000000"/>
                <w:lang w:val="en"/>
              </w:rPr>
              <w:t xml:space="preserve"> </w:t>
            </w:r>
            <w:proofErr w:type="spellStart"/>
            <w:r w:rsidRPr="00122816">
              <w:rPr>
                <w:color w:val="000000"/>
                <w:lang w:val="en"/>
              </w:rPr>
              <w:t>боядисване</w:t>
            </w:r>
            <w:proofErr w:type="spellEnd"/>
            <w:r w:rsidRPr="00122816">
              <w:rPr>
                <w:color w:val="000000"/>
                <w:lang w:val="en"/>
              </w:rPr>
              <w:t xml:space="preserve">, </w:t>
            </w:r>
            <w:proofErr w:type="spellStart"/>
            <w:r w:rsidRPr="00122816">
              <w:rPr>
                <w:color w:val="000000"/>
                <w:lang w:val="en"/>
              </w:rPr>
              <w:t>което</w:t>
            </w:r>
            <w:proofErr w:type="spellEnd"/>
            <w:r w:rsidRPr="00122816">
              <w:rPr>
                <w:color w:val="000000"/>
                <w:lang w:val="en"/>
              </w:rPr>
              <w:t xml:space="preserve"> </w:t>
            </w:r>
            <w:proofErr w:type="spellStart"/>
            <w:r w:rsidRPr="00122816">
              <w:rPr>
                <w:color w:val="000000"/>
                <w:lang w:val="en"/>
              </w:rPr>
              <w:t>се</w:t>
            </w:r>
            <w:proofErr w:type="spellEnd"/>
            <w:r w:rsidRPr="00122816">
              <w:rPr>
                <w:color w:val="000000"/>
                <w:lang w:val="en"/>
              </w:rPr>
              <w:t xml:space="preserve"> </w:t>
            </w:r>
            <w:proofErr w:type="spellStart"/>
            <w:r w:rsidRPr="00122816">
              <w:rPr>
                <w:color w:val="000000"/>
                <w:lang w:val="en"/>
              </w:rPr>
              <w:t>тълкува</w:t>
            </w:r>
            <w:proofErr w:type="spellEnd"/>
            <w:r w:rsidRPr="00122816">
              <w:rPr>
                <w:color w:val="000000"/>
                <w:lang w:val="en"/>
              </w:rPr>
              <w:t xml:space="preserve"> </w:t>
            </w:r>
            <w:proofErr w:type="spellStart"/>
            <w:r w:rsidRPr="00122816">
              <w:rPr>
                <w:color w:val="000000"/>
                <w:lang w:val="en"/>
              </w:rPr>
              <w:t>от</w:t>
            </w:r>
            <w:proofErr w:type="spellEnd"/>
            <w:r w:rsidRPr="00122816">
              <w:rPr>
                <w:color w:val="000000"/>
                <w:lang w:val="en"/>
              </w:rPr>
              <w:t xml:space="preserve"> </w:t>
            </w:r>
            <w:proofErr w:type="spellStart"/>
            <w:r w:rsidRPr="00122816">
              <w:rPr>
                <w:color w:val="000000"/>
                <w:lang w:val="en"/>
              </w:rPr>
              <w:t>всички</w:t>
            </w:r>
            <w:proofErr w:type="spellEnd"/>
            <w:r w:rsidRPr="00122816">
              <w:rPr>
                <w:color w:val="000000"/>
                <w:lang w:val="en"/>
              </w:rPr>
              <w:t xml:space="preserve">, </w:t>
            </w:r>
            <w:proofErr w:type="spellStart"/>
            <w:r w:rsidRPr="00122816">
              <w:rPr>
                <w:color w:val="000000"/>
                <w:lang w:val="en"/>
              </w:rPr>
              <w:t>че</w:t>
            </w:r>
            <w:proofErr w:type="spellEnd"/>
            <w:r w:rsidRPr="00122816">
              <w:rPr>
                <w:color w:val="000000"/>
                <w:lang w:val="en"/>
              </w:rPr>
              <w:t xml:space="preserve"> </w:t>
            </w:r>
            <w:proofErr w:type="spellStart"/>
            <w:r w:rsidRPr="00122816">
              <w:rPr>
                <w:color w:val="000000"/>
                <w:lang w:val="en"/>
              </w:rPr>
              <w:t>влиза</w:t>
            </w:r>
            <w:proofErr w:type="spellEnd"/>
            <w:r w:rsidRPr="00122816">
              <w:rPr>
                <w:color w:val="000000"/>
                <w:lang w:val="en"/>
              </w:rPr>
              <w:t xml:space="preserve"> в и </w:t>
            </w:r>
            <w:proofErr w:type="spellStart"/>
            <w:r w:rsidRPr="00122816">
              <w:rPr>
                <w:color w:val="000000"/>
                <w:lang w:val="en"/>
              </w:rPr>
              <w:t>други</w:t>
            </w:r>
            <w:proofErr w:type="spellEnd"/>
            <w:r w:rsidRPr="00122816">
              <w:rPr>
                <w:color w:val="000000"/>
                <w:lang w:val="en"/>
              </w:rPr>
              <w:t xml:space="preserve"> </w:t>
            </w:r>
            <w:proofErr w:type="spellStart"/>
            <w:r w:rsidRPr="00122816">
              <w:rPr>
                <w:color w:val="000000"/>
                <w:lang w:val="en"/>
              </w:rPr>
              <w:t>да</w:t>
            </w:r>
            <w:proofErr w:type="spellEnd"/>
            <w:r w:rsidRPr="00122816">
              <w:rPr>
                <w:color w:val="000000"/>
                <w:lang w:val="en"/>
              </w:rPr>
              <w:t xml:space="preserve"> е с </w:t>
            </w:r>
            <w:proofErr w:type="spellStart"/>
            <w:r w:rsidRPr="00122816">
              <w:rPr>
                <w:color w:val="000000"/>
                <w:lang w:val="en"/>
              </w:rPr>
              <w:t>гаранционен</w:t>
            </w:r>
            <w:proofErr w:type="spellEnd"/>
            <w:r w:rsidRPr="00122816">
              <w:rPr>
                <w:color w:val="000000"/>
                <w:lang w:val="en"/>
              </w:rPr>
              <w:t xml:space="preserve"> </w:t>
            </w:r>
            <w:proofErr w:type="spellStart"/>
            <w:r w:rsidRPr="00122816">
              <w:rPr>
                <w:color w:val="000000"/>
                <w:lang w:val="en"/>
              </w:rPr>
              <w:t>срок</w:t>
            </w:r>
            <w:proofErr w:type="spellEnd"/>
            <w:r w:rsidRPr="00122816">
              <w:rPr>
                <w:color w:val="000000"/>
                <w:lang w:val="en"/>
              </w:rPr>
              <w:t xml:space="preserve"> </w:t>
            </w:r>
            <w:proofErr w:type="spellStart"/>
            <w:r w:rsidRPr="00122816">
              <w:rPr>
                <w:color w:val="000000"/>
                <w:lang w:val="en"/>
              </w:rPr>
              <w:t>от</w:t>
            </w:r>
            <w:proofErr w:type="spellEnd"/>
            <w:r w:rsidRPr="00122816">
              <w:rPr>
                <w:color w:val="000000"/>
                <w:lang w:val="en"/>
              </w:rPr>
              <w:t xml:space="preserve"> 5 </w:t>
            </w:r>
            <w:proofErr w:type="spellStart"/>
            <w:r w:rsidRPr="00122816">
              <w:rPr>
                <w:color w:val="000000"/>
                <w:lang w:val="en"/>
              </w:rPr>
              <w:t>години</w:t>
            </w:r>
            <w:proofErr w:type="spellEnd"/>
            <w:r w:rsidRPr="00122816">
              <w:rPr>
                <w:color w:val="000000"/>
                <w:lang w:val="en"/>
              </w:rPr>
              <w:t>.</w:t>
            </w:r>
          </w:p>
        </w:tc>
        <w:tc>
          <w:tcPr>
            <w:tcW w:w="1985" w:type="dxa"/>
            <w:shd w:val="clear" w:color="auto" w:fill="auto"/>
          </w:tcPr>
          <w:p w:rsidR="00176847" w:rsidRPr="00386456" w:rsidRDefault="00681249" w:rsidP="00122816">
            <w:pPr>
              <w:jc w:val="both"/>
              <w:rPr>
                <w:color w:val="000000"/>
              </w:rPr>
            </w:pPr>
            <w:r>
              <w:rPr>
                <w:color w:val="000000"/>
              </w:rPr>
              <w:t>н</w:t>
            </w:r>
            <w:r w:rsidR="00386456">
              <w:rPr>
                <w:color w:val="000000"/>
              </w:rPr>
              <w:t>е се приема</w:t>
            </w:r>
          </w:p>
        </w:tc>
        <w:tc>
          <w:tcPr>
            <w:tcW w:w="4394" w:type="dxa"/>
            <w:shd w:val="clear" w:color="auto" w:fill="auto"/>
          </w:tcPr>
          <w:p w:rsidR="00176847" w:rsidRPr="00122816" w:rsidRDefault="00660ED0" w:rsidP="00122816">
            <w:pPr>
              <w:jc w:val="both"/>
              <w:rPr>
                <w:b/>
              </w:rPr>
            </w:pPr>
            <w:r w:rsidRPr="00122816">
              <w:rPr>
                <w:color w:val="000000"/>
                <w:lang w:val="en"/>
              </w:rPr>
              <w:t xml:space="preserve">В </w:t>
            </w:r>
            <w:proofErr w:type="spellStart"/>
            <w:r w:rsidR="00DE634C" w:rsidRPr="00122816">
              <w:rPr>
                <w:color w:val="000000"/>
                <w:lang w:val="en"/>
              </w:rPr>
              <w:t>чл</w:t>
            </w:r>
            <w:proofErr w:type="spellEnd"/>
            <w:r w:rsidR="00DE634C" w:rsidRPr="00122816">
              <w:rPr>
                <w:color w:val="000000"/>
                <w:lang w:val="en"/>
              </w:rPr>
              <w:t>.</w:t>
            </w:r>
            <w:r w:rsidR="00DE634C" w:rsidRPr="00122816">
              <w:rPr>
                <w:color w:val="000000"/>
              </w:rPr>
              <w:t xml:space="preserve"> </w:t>
            </w:r>
            <w:r w:rsidR="00DE634C" w:rsidRPr="00122816">
              <w:rPr>
                <w:color w:val="000000"/>
                <w:lang w:val="en"/>
              </w:rPr>
              <w:t xml:space="preserve">20 </w:t>
            </w:r>
            <w:proofErr w:type="spellStart"/>
            <w:r w:rsidR="00DE634C" w:rsidRPr="00122816">
              <w:rPr>
                <w:color w:val="000000"/>
                <w:lang w:val="en"/>
              </w:rPr>
              <w:t>за</w:t>
            </w:r>
            <w:proofErr w:type="spellEnd"/>
            <w:r w:rsidR="00DE634C" w:rsidRPr="00122816">
              <w:rPr>
                <w:color w:val="000000"/>
                <w:lang w:val="en"/>
              </w:rPr>
              <w:t xml:space="preserve"> </w:t>
            </w:r>
            <w:proofErr w:type="spellStart"/>
            <w:r w:rsidR="00DE634C" w:rsidRPr="00122816">
              <w:rPr>
                <w:color w:val="000000"/>
                <w:lang w:val="en"/>
              </w:rPr>
              <w:t>гар</w:t>
            </w:r>
            <w:proofErr w:type="spellEnd"/>
            <w:r w:rsidR="00B51779">
              <w:rPr>
                <w:color w:val="000000"/>
              </w:rPr>
              <w:t>а</w:t>
            </w:r>
            <w:proofErr w:type="spellStart"/>
            <w:r w:rsidR="00DE634C" w:rsidRPr="00122816">
              <w:rPr>
                <w:color w:val="000000"/>
                <w:lang w:val="en"/>
              </w:rPr>
              <w:t>нционните</w:t>
            </w:r>
            <w:proofErr w:type="spellEnd"/>
            <w:r w:rsidR="00DE634C" w:rsidRPr="00122816">
              <w:rPr>
                <w:color w:val="000000"/>
                <w:lang w:val="en"/>
              </w:rPr>
              <w:t xml:space="preserve"> </w:t>
            </w:r>
            <w:proofErr w:type="spellStart"/>
            <w:r w:rsidR="00DE634C" w:rsidRPr="00122816">
              <w:rPr>
                <w:color w:val="000000"/>
                <w:lang w:val="en"/>
              </w:rPr>
              <w:t>срокове</w:t>
            </w:r>
            <w:proofErr w:type="spellEnd"/>
            <w:r w:rsidR="00DE634C" w:rsidRPr="00122816">
              <w:rPr>
                <w:color w:val="000000"/>
                <w:lang w:val="en"/>
              </w:rPr>
              <w:t xml:space="preserve"> т.</w:t>
            </w:r>
            <w:r w:rsidR="00DE634C" w:rsidRPr="00122816">
              <w:rPr>
                <w:color w:val="000000"/>
              </w:rPr>
              <w:t xml:space="preserve"> </w:t>
            </w:r>
            <w:r w:rsidR="00DE634C" w:rsidRPr="00122816">
              <w:rPr>
                <w:color w:val="000000"/>
                <w:lang w:val="en"/>
              </w:rPr>
              <w:t xml:space="preserve">4 </w:t>
            </w:r>
            <w:proofErr w:type="spellStart"/>
            <w:r w:rsidR="00DE634C" w:rsidRPr="00122816">
              <w:rPr>
                <w:color w:val="000000"/>
                <w:lang w:val="en"/>
              </w:rPr>
              <w:t>за</w:t>
            </w:r>
            <w:proofErr w:type="spellEnd"/>
            <w:r w:rsidR="00DE634C" w:rsidRPr="00122816">
              <w:rPr>
                <w:color w:val="000000"/>
                <w:lang w:val="en"/>
              </w:rPr>
              <w:t xml:space="preserve"> </w:t>
            </w:r>
            <w:proofErr w:type="spellStart"/>
            <w:r w:rsidR="00DE634C" w:rsidRPr="00122816">
              <w:rPr>
                <w:color w:val="000000"/>
                <w:lang w:val="en"/>
              </w:rPr>
              <w:t>всички</w:t>
            </w:r>
            <w:proofErr w:type="spellEnd"/>
            <w:r w:rsidR="00DE634C" w:rsidRPr="00122816">
              <w:rPr>
                <w:color w:val="000000"/>
                <w:lang w:val="en"/>
              </w:rPr>
              <w:t xml:space="preserve"> </w:t>
            </w:r>
            <w:proofErr w:type="spellStart"/>
            <w:r w:rsidR="00DE634C" w:rsidRPr="00122816">
              <w:rPr>
                <w:color w:val="000000"/>
                <w:lang w:val="en"/>
              </w:rPr>
              <w:t>видове</w:t>
            </w:r>
            <w:proofErr w:type="spellEnd"/>
            <w:r w:rsidR="00DE634C" w:rsidRPr="00122816">
              <w:rPr>
                <w:color w:val="000000"/>
                <w:lang w:val="en"/>
              </w:rPr>
              <w:t xml:space="preserve"> </w:t>
            </w:r>
            <w:proofErr w:type="spellStart"/>
            <w:r w:rsidR="00DE634C" w:rsidRPr="00122816">
              <w:rPr>
                <w:color w:val="000000"/>
                <w:lang w:val="en"/>
              </w:rPr>
              <w:t>строителни</w:t>
            </w:r>
            <w:proofErr w:type="spellEnd"/>
            <w:r w:rsidR="00DE634C" w:rsidRPr="00122816">
              <w:rPr>
                <w:color w:val="000000"/>
                <w:lang w:val="en"/>
              </w:rPr>
              <w:t xml:space="preserve">, </w:t>
            </w:r>
            <w:proofErr w:type="spellStart"/>
            <w:r w:rsidR="00DE634C" w:rsidRPr="00122816">
              <w:rPr>
                <w:color w:val="000000"/>
                <w:lang w:val="en"/>
              </w:rPr>
              <w:t>монтажни</w:t>
            </w:r>
            <w:proofErr w:type="spellEnd"/>
            <w:r w:rsidR="00DE634C" w:rsidRPr="00122816">
              <w:rPr>
                <w:color w:val="000000"/>
                <w:lang w:val="en"/>
              </w:rPr>
              <w:t xml:space="preserve"> и </w:t>
            </w:r>
            <w:proofErr w:type="spellStart"/>
            <w:r w:rsidR="00DE634C" w:rsidRPr="00122816">
              <w:rPr>
                <w:color w:val="000000"/>
                <w:lang w:val="en"/>
              </w:rPr>
              <w:t>довършителни</w:t>
            </w:r>
            <w:proofErr w:type="spellEnd"/>
            <w:r w:rsidR="00DE634C" w:rsidRPr="00122816">
              <w:rPr>
                <w:color w:val="000000"/>
                <w:lang w:val="en"/>
              </w:rPr>
              <w:t xml:space="preserve"> </w:t>
            </w:r>
            <w:proofErr w:type="spellStart"/>
            <w:r w:rsidR="00DE634C" w:rsidRPr="00122816">
              <w:rPr>
                <w:color w:val="000000"/>
                <w:lang w:val="en"/>
              </w:rPr>
              <w:t>работи</w:t>
            </w:r>
            <w:proofErr w:type="spellEnd"/>
            <w:r w:rsidR="00DE634C" w:rsidRPr="00122816">
              <w:rPr>
                <w:color w:val="000000"/>
                <w:lang w:val="en"/>
              </w:rPr>
              <w:t xml:space="preserve"> </w:t>
            </w:r>
            <w:proofErr w:type="spellStart"/>
            <w:r w:rsidR="00DE634C" w:rsidRPr="00122816">
              <w:rPr>
                <w:color w:val="000000"/>
                <w:lang w:val="en"/>
              </w:rPr>
              <w:t>се</w:t>
            </w:r>
            <w:proofErr w:type="spellEnd"/>
            <w:r w:rsidR="00DE634C" w:rsidRPr="00122816">
              <w:rPr>
                <w:color w:val="000000"/>
                <w:lang w:val="en"/>
              </w:rPr>
              <w:t xml:space="preserve"> </w:t>
            </w:r>
            <w:proofErr w:type="spellStart"/>
            <w:r w:rsidR="00DE634C" w:rsidRPr="00122816">
              <w:rPr>
                <w:color w:val="000000"/>
                <w:lang w:val="en"/>
              </w:rPr>
              <w:t>изреждат</w:t>
            </w:r>
            <w:proofErr w:type="spellEnd"/>
            <w:r w:rsidR="00DE634C" w:rsidRPr="00122816">
              <w:rPr>
                <w:color w:val="000000"/>
                <w:lang w:val="en"/>
              </w:rPr>
              <w:t xml:space="preserve"> </w:t>
            </w:r>
            <w:proofErr w:type="spellStart"/>
            <w:r w:rsidR="00DE634C" w:rsidRPr="00122816">
              <w:rPr>
                <w:color w:val="000000"/>
                <w:lang w:val="en"/>
              </w:rPr>
              <w:t>някои</w:t>
            </w:r>
            <w:proofErr w:type="spellEnd"/>
            <w:r w:rsidR="00DE634C" w:rsidRPr="00122816">
              <w:rPr>
                <w:color w:val="000000"/>
                <w:lang w:val="en"/>
              </w:rPr>
              <w:t xml:space="preserve"> </w:t>
            </w:r>
            <w:proofErr w:type="spellStart"/>
            <w:r w:rsidR="00DE634C" w:rsidRPr="00122816">
              <w:rPr>
                <w:color w:val="000000"/>
                <w:lang w:val="en"/>
              </w:rPr>
              <w:t>довършителни</w:t>
            </w:r>
            <w:proofErr w:type="spellEnd"/>
            <w:r w:rsidR="00DE634C" w:rsidRPr="00122816">
              <w:rPr>
                <w:color w:val="000000"/>
                <w:lang w:val="en"/>
              </w:rPr>
              <w:t xml:space="preserve"> </w:t>
            </w:r>
            <w:proofErr w:type="spellStart"/>
            <w:r w:rsidR="00DE634C" w:rsidRPr="00122816">
              <w:rPr>
                <w:color w:val="000000"/>
                <w:lang w:val="en"/>
              </w:rPr>
              <w:t>работи</w:t>
            </w:r>
            <w:proofErr w:type="spellEnd"/>
            <w:r w:rsidR="00DE634C" w:rsidRPr="00122816">
              <w:rPr>
                <w:color w:val="000000"/>
                <w:lang w:val="en"/>
              </w:rPr>
              <w:t xml:space="preserve"> и е </w:t>
            </w:r>
            <w:proofErr w:type="spellStart"/>
            <w:r w:rsidR="00DE634C" w:rsidRPr="00122816">
              <w:rPr>
                <w:color w:val="000000"/>
                <w:lang w:val="en"/>
              </w:rPr>
              <w:t>написано</w:t>
            </w:r>
            <w:proofErr w:type="spellEnd"/>
            <w:r w:rsidR="00DE634C" w:rsidRPr="00122816">
              <w:rPr>
                <w:color w:val="000000"/>
                <w:lang w:val="en"/>
              </w:rPr>
              <w:t xml:space="preserve"> и </w:t>
            </w:r>
            <w:proofErr w:type="spellStart"/>
            <w:r w:rsidR="00DE634C" w:rsidRPr="00122816">
              <w:rPr>
                <w:color w:val="000000"/>
                <w:lang w:val="en"/>
              </w:rPr>
              <w:t>други</w:t>
            </w:r>
            <w:proofErr w:type="spellEnd"/>
            <w:r w:rsidR="00DE634C" w:rsidRPr="00122816">
              <w:rPr>
                <w:color w:val="000000"/>
                <w:lang w:val="en"/>
              </w:rPr>
              <w:t>.</w:t>
            </w:r>
          </w:p>
        </w:tc>
        <w:tc>
          <w:tcPr>
            <w:tcW w:w="3730" w:type="dxa"/>
            <w:shd w:val="clear" w:color="auto" w:fill="auto"/>
          </w:tcPr>
          <w:p w:rsidR="00176847" w:rsidRPr="00237BA2" w:rsidRDefault="00123234" w:rsidP="00B51779">
            <w:pPr>
              <w:jc w:val="both"/>
              <w:rPr>
                <w:color w:val="000000"/>
              </w:rPr>
            </w:pPr>
            <w:r>
              <w:rPr>
                <w:color w:val="000000"/>
              </w:rPr>
              <w:t>т.4</w:t>
            </w:r>
            <w:r w:rsidR="00AD3AA3">
              <w:rPr>
                <w:color w:val="000000"/>
              </w:rPr>
              <w:t xml:space="preserve"> на чл.20, ал.4</w:t>
            </w:r>
            <w:r>
              <w:rPr>
                <w:color w:val="000000"/>
              </w:rPr>
              <w:t xml:space="preserve"> не е изменена</w:t>
            </w:r>
            <w:r w:rsidR="00060A76">
              <w:rPr>
                <w:color w:val="000000"/>
              </w:rPr>
              <w:t xml:space="preserve"> относно</w:t>
            </w:r>
            <w:r w:rsidR="00B51779">
              <w:rPr>
                <w:color w:val="000000"/>
              </w:rPr>
              <w:t xml:space="preserve"> </w:t>
            </w:r>
            <w:proofErr w:type="spellStart"/>
            <w:r w:rsidR="00B51779" w:rsidRPr="00122816">
              <w:rPr>
                <w:color w:val="000000"/>
                <w:lang w:val="en"/>
              </w:rPr>
              <w:t>гар</w:t>
            </w:r>
            <w:proofErr w:type="spellEnd"/>
            <w:r w:rsidR="00B51779">
              <w:rPr>
                <w:color w:val="000000"/>
              </w:rPr>
              <w:t>а</w:t>
            </w:r>
            <w:proofErr w:type="spellStart"/>
            <w:r w:rsidR="00B51779" w:rsidRPr="00122816">
              <w:rPr>
                <w:color w:val="000000"/>
                <w:lang w:val="en"/>
              </w:rPr>
              <w:t>нционните</w:t>
            </w:r>
            <w:proofErr w:type="spellEnd"/>
            <w:r w:rsidR="00B51779" w:rsidRPr="00122816">
              <w:rPr>
                <w:color w:val="000000"/>
                <w:lang w:val="en"/>
              </w:rPr>
              <w:t xml:space="preserve"> </w:t>
            </w:r>
            <w:proofErr w:type="spellStart"/>
            <w:r w:rsidR="00B51779" w:rsidRPr="00122816">
              <w:rPr>
                <w:color w:val="000000"/>
                <w:lang w:val="en"/>
              </w:rPr>
              <w:t>срокове</w:t>
            </w:r>
            <w:proofErr w:type="spellEnd"/>
            <w:r w:rsidR="00060A76">
              <w:rPr>
                <w:color w:val="000000"/>
              </w:rPr>
              <w:t xml:space="preserve"> </w:t>
            </w:r>
            <w:r w:rsidR="00B51779">
              <w:rPr>
                <w:color w:val="000000"/>
              </w:rPr>
              <w:t xml:space="preserve">в частта за </w:t>
            </w:r>
            <w:r w:rsidR="00060A76">
              <w:rPr>
                <w:color w:val="000000"/>
              </w:rPr>
              <w:t>довършителни</w:t>
            </w:r>
            <w:r w:rsidR="005A6E2F">
              <w:rPr>
                <w:color w:val="000000"/>
              </w:rPr>
              <w:t xml:space="preserve"> работи</w:t>
            </w:r>
            <w:r w:rsidR="00B51779">
              <w:rPr>
                <w:color w:val="000000"/>
              </w:rPr>
              <w:t>.</w:t>
            </w:r>
          </w:p>
        </w:tc>
      </w:tr>
      <w:tr w:rsidR="008B4B31" w:rsidRPr="00122816" w:rsidTr="0047211F">
        <w:trPr>
          <w:jc w:val="center"/>
        </w:trPr>
        <w:tc>
          <w:tcPr>
            <w:tcW w:w="578" w:type="dxa"/>
            <w:shd w:val="clear" w:color="auto" w:fill="auto"/>
          </w:tcPr>
          <w:p w:rsidR="00176847" w:rsidRPr="00A57F85" w:rsidRDefault="003812A8" w:rsidP="00122816">
            <w:pPr>
              <w:jc w:val="center"/>
              <w:rPr>
                <w:color w:val="000000"/>
              </w:rPr>
            </w:pPr>
            <w:r w:rsidRPr="00A57F85">
              <w:rPr>
                <w:color w:val="000000"/>
                <w:lang w:val="en"/>
              </w:rPr>
              <w:t>2</w:t>
            </w:r>
            <w:r w:rsidRPr="00A57F85">
              <w:rPr>
                <w:color w:val="000000"/>
              </w:rPr>
              <w:t>.</w:t>
            </w:r>
          </w:p>
        </w:tc>
        <w:tc>
          <w:tcPr>
            <w:tcW w:w="1768" w:type="dxa"/>
            <w:shd w:val="clear" w:color="auto" w:fill="auto"/>
          </w:tcPr>
          <w:p w:rsidR="00176847" w:rsidRPr="00A57F85" w:rsidRDefault="00767E7B" w:rsidP="00122816">
            <w:pPr>
              <w:jc w:val="both"/>
              <w:rPr>
                <w:color w:val="000000"/>
                <w:lang w:val="en"/>
              </w:rPr>
            </w:pPr>
            <w:bookmarkStart w:id="0" w:name="bookmark0"/>
            <w:r w:rsidRPr="00A57F85">
              <w:rPr>
                <w:color w:val="000000"/>
                <w:lang w:bidi="bg-BG"/>
              </w:rPr>
              <w:t>Национално Сдружение на Общините</w:t>
            </w:r>
            <w:r w:rsidRPr="00A57F85">
              <w:rPr>
                <w:color w:val="000000"/>
                <w:lang w:val="en-US" w:bidi="bg-BG"/>
              </w:rPr>
              <w:t xml:space="preserve"> </w:t>
            </w:r>
            <w:r w:rsidRPr="00A57F85">
              <w:rPr>
                <w:color w:val="000000"/>
                <w:lang w:bidi="bg-BG"/>
              </w:rPr>
              <w:t>в Република България</w:t>
            </w:r>
            <w:bookmarkEnd w:id="0"/>
            <w:r w:rsidRPr="00A57F85">
              <w:rPr>
                <w:color w:val="000000"/>
                <w:lang w:val="en-US" w:bidi="bg-BG"/>
              </w:rPr>
              <w:t xml:space="preserve"> </w:t>
            </w:r>
            <w:r w:rsidRPr="00A57F85">
              <w:rPr>
                <w:color w:val="000000"/>
                <w:lang w:val="en"/>
              </w:rPr>
              <w:t>(</w:t>
            </w:r>
            <w:r w:rsidRPr="00A57F85">
              <w:rPr>
                <w:color w:val="000000"/>
              </w:rPr>
              <w:t>НСОРБ</w:t>
            </w:r>
            <w:r w:rsidRPr="00A57F85">
              <w:rPr>
                <w:color w:val="000000"/>
                <w:lang w:val="en"/>
              </w:rPr>
              <w:t>)</w:t>
            </w:r>
          </w:p>
        </w:tc>
        <w:tc>
          <w:tcPr>
            <w:tcW w:w="3118" w:type="dxa"/>
            <w:shd w:val="clear" w:color="auto" w:fill="auto"/>
          </w:tcPr>
          <w:p w:rsidR="00B3710D" w:rsidRPr="00A57F85" w:rsidRDefault="00B3710D" w:rsidP="00122816">
            <w:pPr>
              <w:jc w:val="both"/>
              <w:rPr>
                <w:color w:val="000000"/>
                <w:lang w:bidi="bg-BG"/>
              </w:rPr>
            </w:pPr>
            <w:bookmarkStart w:id="1" w:name="bookmark4"/>
            <w:r w:rsidRPr="00A57F85">
              <w:rPr>
                <w:color w:val="000000"/>
                <w:u w:val="single"/>
                <w:lang w:bidi="bg-BG"/>
              </w:rPr>
              <w:t>По приложение №</w:t>
            </w:r>
            <w:r w:rsidR="002E3076" w:rsidRPr="00A57F85">
              <w:rPr>
                <w:color w:val="000000"/>
                <w:u w:val="single"/>
                <w:lang w:bidi="bg-BG"/>
              </w:rPr>
              <w:t xml:space="preserve"> </w:t>
            </w:r>
            <w:r w:rsidRPr="00A57F85">
              <w:rPr>
                <w:color w:val="000000"/>
                <w:u w:val="single"/>
                <w:lang w:bidi="bg-BG"/>
              </w:rPr>
              <w:t>1</w:t>
            </w:r>
            <w:bookmarkEnd w:id="1"/>
            <w:r w:rsidRPr="00A57F85">
              <w:rPr>
                <w:color w:val="000000"/>
                <w:lang w:bidi="bg-BG"/>
              </w:rPr>
              <w:t xml:space="preserve"> </w:t>
            </w:r>
          </w:p>
          <w:p w:rsidR="00176847" w:rsidRPr="00A57F85" w:rsidRDefault="00B3710D" w:rsidP="00122816">
            <w:pPr>
              <w:jc w:val="both"/>
              <w:rPr>
                <w:color w:val="000000"/>
                <w:lang w:val="en"/>
              </w:rPr>
            </w:pPr>
            <w:r w:rsidRPr="00A57F85">
              <w:rPr>
                <w:color w:val="000000"/>
                <w:lang w:bidi="bg-BG"/>
              </w:rPr>
              <w:t>Считаме, че образецът следва да бъде на „заявление“, а не на „искане“.</w:t>
            </w:r>
          </w:p>
        </w:tc>
        <w:tc>
          <w:tcPr>
            <w:tcW w:w="1985" w:type="dxa"/>
            <w:shd w:val="clear" w:color="auto" w:fill="auto"/>
          </w:tcPr>
          <w:p w:rsidR="00176847" w:rsidRPr="00A57F85" w:rsidRDefault="008706DB" w:rsidP="00122816">
            <w:pPr>
              <w:jc w:val="both"/>
              <w:rPr>
                <w:color w:val="000000"/>
              </w:rPr>
            </w:pPr>
            <w:r w:rsidRPr="00A57F85">
              <w:rPr>
                <w:color w:val="000000"/>
              </w:rPr>
              <w:t xml:space="preserve">приема </w:t>
            </w:r>
            <w:r w:rsidR="002D4816" w:rsidRPr="00A57F85">
              <w:rPr>
                <w:color w:val="000000"/>
              </w:rPr>
              <w:t>се</w:t>
            </w:r>
          </w:p>
        </w:tc>
        <w:tc>
          <w:tcPr>
            <w:tcW w:w="4394" w:type="dxa"/>
            <w:shd w:val="clear" w:color="auto" w:fill="auto"/>
          </w:tcPr>
          <w:p w:rsidR="00176847" w:rsidRPr="00A57F85" w:rsidRDefault="00B3710D" w:rsidP="00122816">
            <w:pPr>
              <w:jc w:val="both"/>
              <w:rPr>
                <w:color w:val="000000"/>
                <w:lang w:val="en"/>
              </w:rPr>
            </w:pPr>
            <w:r w:rsidRPr="00A57F85">
              <w:rPr>
                <w:color w:val="000000"/>
                <w:lang w:bidi="bg-BG"/>
              </w:rPr>
              <w:t>В чл. 177, ал. 1 от ЗУТ ясно е регламентирано, че възложителят подава заявление пред компетентния орган за въвеждането на обекта в експлоатация</w:t>
            </w:r>
          </w:p>
        </w:tc>
        <w:tc>
          <w:tcPr>
            <w:tcW w:w="3730" w:type="dxa"/>
            <w:shd w:val="clear" w:color="auto" w:fill="auto"/>
          </w:tcPr>
          <w:p w:rsidR="00176847" w:rsidRPr="00A57F85" w:rsidRDefault="002D4816" w:rsidP="00B47730">
            <w:pPr>
              <w:jc w:val="both"/>
              <w:rPr>
                <w:color w:val="000000"/>
              </w:rPr>
            </w:pPr>
            <w:r w:rsidRPr="00A57F85">
              <w:rPr>
                <w:color w:val="000000"/>
              </w:rPr>
              <w:t>В чл.177, ал.</w:t>
            </w:r>
            <w:r w:rsidR="00B47730" w:rsidRPr="00A57F85">
              <w:rPr>
                <w:color w:val="000000"/>
              </w:rPr>
              <w:t>1 и ал.3</w:t>
            </w:r>
            <w:r w:rsidRPr="00A57F85">
              <w:rPr>
                <w:color w:val="000000"/>
              </w:rPr>
              <w:t xml:space="preserve">, от ЗУТ е посочено </w:t>
            </w:r>
            <w:r w:rsidR="00B47730" w:rsidRPr="00A57F85">
              <w:rPr>
                <w:color w:val="000000"/>
              </w:rPr>
              <w:t>„</w:t>
            </w:r>
            <w:r w:rsidRPr="00A57F85">
              <w:rPr>
                <w:color w:val="000000"/>
              </w:rPr>
              <w:t>заявление“</w:t>
            </w:r>
            <w:r w:rsidR="00AF4EDE" w:rsidRPr="00A57F85">
              <w:rPr>
                <w:color w:val="000000"/>
              </w:rPr>
              <w:t>.</w:t>
            </w:r>
          </w:p>
        </w:tc>
      </w:tr>
      <w:tr w:rsidR="008B4B31" w:rsidRPr="00122816" w:rsidTr="0047211F">
        <w:trPr>
          <w:jc w:val="center"/>
        </w:trPr>
        <w:tc>
          <w:tcPr>
            <w:tcW w:w="578" w:type="dxa"/>
            <w:shd w:val="clear" w:color="auto" w:fill="auto"/>
          </w:tcPr>
          <w:p w:rsidR="00176847" w:rsidRPr="00FF56D7" w:rsidRDefault="003812A8" w:rsidP="00122816">
            <w:pPr>
              <w:jc w:val="center"/>
              <w:rPr>
                <w:color w:val="000000"/>
              </w:rPr>
            </w:pPr>
            <w:r w:rsidRPr="00FF56D7">
              <w:rPr>
                <w:color w:val="000000"/>
              </w:rPr>
              <w:t>3.</w:t>
            </w:r>
          </w:p>
        </w:tc>
        <w:tc>
          <w:tcPr>
            <w:tcW w:w="1768" w:type="dxa"/>
            <w:shd w:val="clear" w:color="auto" w:fill="auto"/>
          </w:tcPr>
          <w:p w:rsidR="00176847" w:rsidRPr="00FF56D7" w:rsidRDefault="00561995" w:rsidP="00122816">
            <w:pPr>
              <w:jc w:val="both"/>
              <w:rPr>
                <w:color w:val="000000"/>
                <w:lang w:val="en"/>
              </w:rPr>
            </w:pPr>
            <w:r w:rsidRPr="00FF56D7">
              <w:rPr>
                <w:color w:val="000000"/>
              </w:rPr>
              <w:t>НСОРБ</w:t>
            </w:r>
          </w:p>
        </w:tc>
        <w:tc>
          <w:tcPr>
            <w:tcW w:w="3118" w:type="dxa"/>
            <w:shd w:val="clear" w:color="auto" w:fill="auto"/>
          </w:tcPr>
          <w:p w:rsidR="00176847" w:rsidRPr="00FF56D7" w:rsidRDefault="00B3710D" w:rsidP="00122816">
            <w:pPr>
              <w:jc w:val="both"/>
              <w:rPr>
                <w:color w:val="000000"/>
                <w:u w:val="single"/>
                <w:lang w:bidi="bg-BG"/>
              </w:rPr>
            </w:pPr>
            <w:r w:rsidRPr="00FF56D7">
              <w:rPr>
                <w:color w:val="000000"/>
                <w:u w:val="single"/>
                <w:lang w:bidi="bg-BG"/>
              </w:rPr>
              <w:t>По приложение №</w:t>
            </w:r>
            <w:r w:rsidR="002E3076" w:rsidRPr="00FF56D7">
              <w:rPr>
                <w:color w:val="000000"/>
                <w:u w:val="single"/>
                <w:lang w:bidi="bg-BG"/>
              </w:rPr>
              <w:t xml:space="preserve"> </w:t>
            </w:r>
            <w:r w:rsidR="00B943BB" w:rsidRPr="00FF56D7">
              <w:rPr>
                <w:color w:val="000000"/>
                <w:u w:val="single"/>
                <w:lang w:bidi="bg-BG"/>
              </w:rPr>
              <w:t>1</w:t>
            </w:r>
          </w:p>
          <w:p w:rsidR="00B3710D" w:rsidRPr="00FF56D7" w:rsidRDefault="00B3710D" w:rsidP="00122816">
            <w:pPr>
              <w:jc w:val="both"/>
              <w:rPr>
                <w:color w:val="000000"/>
                <w:lang w:val="en"/>
              </w:rPr>
            </w:pPr>
            <w:r w:rsidRPr="00FF56D7">
              <w:rPr>
                <w:color w:val="000000"/>
                <w:lang w:bidi="bg-BG"/>
              </w:rPr>
              <w:t>Регистрирането на строежа следва да отпадне от заявлението.</w:t>
            </w:r>
          </w:p>
        </w:tc>
        <w:tc>
          <w:tcPr>
            <w:tcW w:w="1985" w:type="dxa"/>
            <w:shd w:val="clear" w:color="auto" w:fill="auto"/>
          </w:tcPr>
          <w:p w:rsidR="00176847" w:rsidRPr="00FF56D7" w:rsidRDefault="00681249" w:rsidP="00122816">
            <w:pPr>
              <w:jc w:val="both"/>
              <w:rPr>
                <w:color w:val="000000"/>
              </w:rPr>
            </w:pPr>
            <w:r w:rsidRPr="00FF56D7">
              <w:rPr>
                <w:color w:val="000000"/>
              </w:rPr>
              <w:t>не се приема</w:t>
            </w:r>
          </w:p>
        </w:tc>
        <w:tc>
          <w:tcPr>
            <w:tcW w:w="4394" w:type="dxa"/>
            <w:shd w:val="clear" w:color="auto" w:fill="auto"/>
          </w:tcPr>
          <w:p w:rsidR="00176847" w:rsidRPr="00FF56D7" w:rsidRDefault="00ED057E" w:rsidP="00122816">
            <w:pPr>
              <w:jc w:val="both"/>
              <w:rPr>
                <w:color w:val="000000"/>
                <w:lang w:val="en"/>
              </w:rPr>
            </w:pPr>
            <w:r w:rsidRPr="00FF56D7">
              <w:rPr>
                <w:color w:val="000000"/>
                <w:lang w:bidi="bg-BG"/>
              </w:rPr>
              <w:t>Регистрирането на строежа представлява част от процедурата по въвеждане в експлоатация по чл. 177, ал. 3 от ЗУТ</w:t>
            </w:r>
          </w:p>
        </w:tc>
        <w:tc>
          <w:tcPr>
            <w:tcW w:w="3730" w:type="dxa"/>
            <w:shd w:val="clear" w:color="auto" w:fill="auto"/>
          </w:tcPr>
          <w:p w:rsidR="00176847" w:rsidRPr="00FF56D7" w:rsidRDefault="009F4093" w:rsidP="00462777">
            <w:pPr>
              <w:jc w:val="both"/>
              <w:rPr>
                <w:color w:val="000000"/>
              </w:rPr>
            </w:pPr>
            <w:r w:rsidRPr="00FF56D7">
              <w:rPr>
                <w:color w:val="000000"/>
              </w:rPr>
              <w:t xml:space="preserve">В чл.177, ал.3 от ЗУТ е предвидено, че удостоверението се издава </w:t>
            </w:r>
            <w:r w:rsidR="008C2AE7" w:rsidRPr="00FF56D7">
              <w:rPr>
                <w:color w:val="000000"/>
              </w:rPr>
              <w:t xml:space="preserve">след </w:t>
            </w:r>
            <w:r w:rsidRPr="00FF56D7">
              <w:rPr>
                <w:color w:val="000000"/>
              </w:rPr>
              <w:t>регистриране въвеждането на строежа в експлоатация. В чл.5, ал.5 от ЗУТ се съдържа задължение за поддържане на публични регистри на въведените в експлоатация ст</w:t>
            </w:r>
            <w:r w:rsidR="008C2AE7" w:rsidRPr="00FF56D7">
              <w:rPr>
                <w:color w:val="000000"/>
              </w:rPr>
              <w:t>р</w:t>
            </w:r>
            <w:r w:rsidR="00AF4EDE" w:rsidRPr="00FF56D7">
              <w:rPr>
                <w:color w:val="000000"/>
              </w:rPr>
              <w:t>оежи.</w:t>
            </w:r>
          </w:p>
        </w:tc>
      </w:tr>
      <w:tr w:rsidR="008B4B31" w:rsidRPr="00122816" w:rsidTr="0047211F">
        <w:trPr>
          <w:jc w:val="center"/>
        </w:trPr>
        <w:tc>
          <w:tcPr>
            <w:tcW w:w="578" w:type="dxa"/>
            <w:shd w:val="clear" w:color="auto" w:fill="auto"/>
          </w:tcPr>
          <w:p w:rsidR="00176847" w:rsidRPr="00A57F85" w:rsidRDefault="003812A8" w:rsidP="00122816">
            <w:pPr>
              <w:jc w:val="center"/>
              <w:rPr>
                <w:color w:val="000000"/>
              </w:rPr>
            </w:pPr>
            <w:r w:rsidRPr="00A57F85">
              <w:rPr>
                <w:color w:val="000000"/>
              </w:rPr>
              <w:lastRenderedPageBreak/>
              <w:t>4.</w:t>
            </w:r>
          </w:p>
        </w:tc>
        <w:tc>
          <w:tcPr>
            <w:tcW w:w="1768" w:type="dxa"/>
            <w:shd w:val="clear" w:color="auto" w:fill="auto"/>
          </w:tcPr>
          <w:p w:rsidR="00176847" w:rsidRPr="00A57F85" w:rsidRDefault="001C4A76" w:rsidP="00122816">
            <w:pPr>
              <w:jc w:val="both"/>
              <w:rPr>
                <w:color w:val="000000"/>
                <w:lang w:val="en"/>
              </w:rPr>
            </w:pPr>
            <w:r w:rsidRPr="00A57F85">
              <w:rPr>
                <w:color w:val="000000"/>
              </w:rPr>
              <w:t>НСОРБ</w:t>
            </w:r>
          </w:p>
        </w:tc>
        <w:tc>
          <w:tcPr>
            <w:tcW w:w="3118" w:type="dxa"/>
            <w:shd w:val="clear" w:color="auto" w:fill="auto"/>
          </w:tcPr>
          <w:p w:rsidR="00BE2232" w:rsidRPr="00A57F85" w:rsidRDefault="00BE2232" w:rsidP="00122816">
            <w:pPr>
              <w:jc w:val="both"/>
              <w:rPr>
                <w:color w:val="000000"/>
                <w:u w:val="single"/>
                <w:lang w:bidi="bg-BG"/>
              </w:rPr>
            </w:pPr>
            <w:r w:rsidRPr="00A57F85">
              <w:rPr>
                <w:color w:val="000000"/>
                <w:u w:val="single"/>
                <w:lang w:bidi="bg-BG"/>
              </w:rPr>
              <w:t>По приложение №</w:t>
            </w:r>
            <w:r w:rsidR="002E3076" w:rsidRPr="00A57F85">
              <w:rPr>
                <w:color w:val="000000"/>
                <w:u w:val="single"/>
                <w:lang w:bidi="bg-BG"/>
              </w:rPr>
              <w:t xml:space="preserve"> </w:t>
            </w:r>
            <w:r w:rsidR="00B943BB" w:rsidRPr="00A57F85">
              <w:rPr>
                <w:color w:val="000000"/>
                <w:u w:val="single"/>
                <w:lang w:bidi="bg-BG"/>
              </w:rPr>
              <w:t>1</w:t>
            </w:r>
          </w:p>
          <w:p w:rsidR="00176847" w:rsidRPr="00A57F85" w:rsidRDefault="00BE2232" w:rsidP="00122816">
            <w:pPr>
              <w:jc w:val="both"/>
              <w:rPr>
                <w:color w:val="000000"/>
                <w:lang w:val="en"/>
              </w:rPr>
            </w:pPr>
            <w:r w:rsidRPr="00A57F85">
              <w:rPr>
                <w:color w:val="000000"/>
                <w:lang w:bidi="bg-BG"/>
              </w:rPr>
              <w:t>Структурата на необходимата информация за възложител (имена, адрес и т.н.) да бъде идентична с тази, заложена във вече приетите с Постановление на Министерския съвет № 172 от 11 юли 2019 г. за изменение и допълнение на Наредбата за административното обслужване образци на заявления за услуги от тематичен раздел „Устройство на територията“</w:t>
            </w:r>
            <w:r w:rsidR="00B943BB" w:rsidRPr="00A57F85">
              <w:rPr>
                <w:color w:val="000000"/>
                <w:lang w:bidi="bg-BG"/>
              </w:rPr>
              <w:t>.</w:t>
            </w:r>
          </w:p>
        </w:tc>
        <w:tc>
          <w:tcPr>
            <w:tcW w:w="1985" w:type="dxa"/>
            <w:shd w:val="clear" w:color="auto" w:fill="auto"/>
          </w:tcPr>
          <w:p w:rsidR="00176847" w:rsidRPr="00A57F85" w:rsidRDefault="00AF4EDE" w:rsidP="00122816">
            <w:pPr>
              <w:jc w:val="both"/>
              <w:rPr>
                <w:color w:val="000000"/>
              </w:rPr>
            </w:pPr>
            <w:r w:rsidRPr="00A57F85">
              <w:rPr>
                <w:color w:val="000000"/>
              </w:rPr>
              <w:t>приема</w:t>
            </w:r>
            <w:r w:rsidR="00462777" w:rsidRPr="00A57F85">
              <w:rPr>
                <w:color w:val="000000"/>
              </w:rPr>
              <w:t xml:space="preserve"> се </w:t>
            </w:r>
          </w:p>
        </w:tc>
        <w:tc>
          <w:tcPr>
            <w:tcW w:w="4394" w:type="dxa"/>
            <w:shd w:val="clear" w:color="auto" w:fill="auto"/>
          </w:tcPr>
          <w:p w:rsidR="00176847" w:rsidRPr="00A57F85" w:rsidRDefault="00BE2232" w:rsidP="00122816">
            <w:pPr>
              <w:jc w:val="both"/>
              <w:rPr>
                <w:color w:val="000000"/>
                <w:lang w:val="en"/>
              </w:rPr>
            </w:pPr>
            <w:r w:rsidRPr="00A57F85">
              <w:rPr>
                <w:color w:val="000000"/>
                <w:lang w:bidi="bg-BG"/>
              </w:rPr>
              <w:t>С цел унифициране на заявленията</w:t>
            </w:r>
            <w:r w:rsidR="00AF4EDE" w:rsidRPr="00A57F85">
              <w:rPr>
                <w:color w:val="000000"/>
                <w:lang w:bidi="bg-BG"/>
              </w:rPr>
              <w:t>.</w:t>
            </w:r>
          </w:p>
        </w:tc>
        <w:tc>
          <w:tcPr>
            <w:tcW w:w="3730" w:type="dxa"/>
            <w:shd w:val="clear" w:color="auto" w:fill="auto"/>
          </w:tcPr>
          <w:p w:rsidR="00F650DD" w:rsidRPr="00A57F85" w:rsidRDefault="00F650DD" w:rsidP="00122816">
            <w:pPr>
              <w:jc w:val="both"/>
              <w:rPr>
                <w:color w:val="000000"/>
                <w:lang w:val="en"/>
              </w:rPr>
            </w:pPr>
          </w:p>
          <w:p w:rsidR="00176847" w:rsidRPr="00A57F85" w:rsidRDefault="00AE5F3F" w:rsidP="00AE5F3F">
            <w:r w:rsidRPr="00A57F85">
              <w:t>В чл.5а, ал.2 от Наредба за административното обслужване е регламентирано, че общинските администрации при предоставянето на стандартизирани административни услуги използват образците на заявления съгласно приложение № 5</w:t>
            </w:r>
            <w:r w:rsidR="00AF4EDE" w:rsidRPr="00A57F85">
              <w:t>.</w:t>
            </w:r>
          </w:p>
        </w:tc>
      </w:tr>
      <w:tr w:rsidR="008B4B31" w:rsidRPr="00122816" w:rsidTr="0047211F">
        <w:trPr>
          <w:jc w:val="center"/>
        </w:trPr>
        <w:tc>
          <w:tcPr>
            <w:tcW w:w="578" w:type="dxa"/>
            <w:shd w:val="clear" w:color="auto" w:fill="auto"/>
          </w:tcPr>
          <w:p w:rsidR="00BE2232" w:rsidRPr="00122816" w:rsidRDefault="00BE2232" w:rsidP="00122816">
            <w:pPr>
              <w:jc w:val="center"/>
              <w:rPr>
                <w:color w:val="000000"/>
              </w:rPr>
            </w:pPr>
            <w:r w:rsidRPr="00122816">
              <w:rPr>
                <w:color w:val="000000"/>
              </w:rPr>
              <w:t>5.</w:t>
            </w:r>
          </w:p>
        </w:tc>
        <w:tc>
          <w:tcPr>
            <w:tcW w:w="1768" w:type="dxa"/>
            <w:shd w:val="clear" w:color="auto" w:fill="auto"/>
          </w:tcPr>
          <w:p w:rsidR="00BE2232" w:rsidRPr="00122816" w:rsidRDefault="00BE2232" w:rsidP="00122816">
            <w:pPr>
              <w:jc w:val="both"/>
              <w:rPr>
                <w:color w:val="000000"/>
                <w:lang w:val="en"/>
              </w:rPr>
            </w:pPr>
            <w:r w:rsidRPr="00122816">
              <w:rPr>
                <w:color w:val="000000"/>
              </w:rPr>
              <w:t>НСОРБ</w:t>
            </w:r>
          </w:p>
        </w:tc>
        <w:tc>
          <w:tcPr>
            <w:tcW w:w="3118" w:type="dxa"/>
            <w:shd w:val="clear" w:color="auto" w:fill="auto"/>
          </w:tcPr>
          <w:p w:rsidR="00BE2232" w:rsidRPr="00122816" w:rsidRDefault="00BE2232" w:rsidP="00122816">
            <w:pPr>
              <w:jc w:val="both"/>
              <w:rPr>
                <w:color w:val="000000"/>
                <w:lang w:bidi="bg-BG"/>
              </w:rPr>
            </w:pPr>
            <w:r w:rsidRPr="00122816">
              <w:rPr>
                <w:color w:val="000000"/>
                <w:u w:val="single"/>
                <w:lang w:bidi="bg-BG"/>
              </w:rPr>
              <w:t>По приложение №</w:t>
            </w:r>
            <w:r w:rsidR="002E3076" w:rsidRPr="00122816">
              <w:rPr>
                <w:color w:val="000000"/>
                <w:u w:val="single"/>
                <w:lang w:bidi="bg-BG"/>
              </w:rPr>
              <w:t xml:space="preserve"> </w:t>
            </w:r>
            <w:r w:rsidRPr="00122816">
              <w:rPr>
                <w:color w:val="000000"/>
                <w:u w:val="single"/>
                <w:lang w:bidi="bg-BG"/>
              </w:rPr>
              <w:t>1</w:t>
            </w:r>
          </w:p>
          <w:p w:rsidR="00BE2232" w:rsidRPr="00122816" w:rsidRDefault="00924CCD" w:rsidP="00122816">
            <w:pPr>
              <w:jc w:val="both"/>
              <w:rPr>
                <w:color w:val="000000"/>
                <w:lang w:val="en"/>
              </w:rPr>
            </w:pPr>
            <w:r w:rsidRPr="00122816">
              <w:rPr>
                <w:color w:val="000000"/>
                <w:lang w:bidi="bg-BG"/>
              </w:rPr>
              <w:t>В т. 9 от необходимите за прилагане документи да се добави, че в случай, че техническият паспорт е вече регистриран, то той се прилага служебно</w:t>
            </w:r>
            <w:r w:rsidR="00B943BB" w:rsidRPr="00122816">
              <w:rPr>
                <w:color w:val="000000"/>
                <w:lang w:bidi="bg-BG"/>
              </w:rPr>
              <w:t>.</w:t>
            </w:r>
          </w:p>
        </w:tc>
        <w:tc>
          <w:tcPr>
            <w:tcW w:w="1985" w:type="dxa"/>
            <w:shd w:val="clear" w:color="auto" w:fill="auto"/>
          </w:tcPr>
          <w:p w:rsidR="00BE2232" w:rsidRPr="00947E61" w:rsidRDefault="00947E61" w:rsidP="00122816">
            <w:pPr>
              <w:jc w:val="both"/>
              <w:rPr>
                <w:color w:val="000000"/>
              </w:rPr>
            </w:pPr>
            <w:r>
              <w:rPr>
                <w:color w:val="000000"/>
              </w:rPr>
              <w:t>не се приема</w:t>
            </w:r>
          </w:p>
        </w:tc>
        <w:tc>
          <w:tcPr>
            <w:tcW w:w="4394" w:type="dxa"/>
            <w:shd w:val="clear" w:color="auto" w:fill="auto"/>
          </w:tcPr>
          <w:p w:rsidR="00BE2232" w:rsidRPr="00122816" w:rsidRDefault="00BE2232" w:rsidP="00122816">
            <w:pPr>
              <w:jc w:val="both"/>
              <w:rPr>
                <w:color w:val="000000"/>
                <w:lang w:val="en"/>
              </w:rPr>
            </w:pPr>
          </w:p>
        </w:tc>
        <w:tc>
          <w:tcPr>
            <w:tcW w:w="3730" w:type="dxa"/>
            <w:shd w:val="clear" w:color="auto" w:fill="auto"/>
          </w:tcPr>
          <w:p w:rsidR="00BE2232" w:rsidRPr="00E93AB6" w:rsidRDefault="00E93AB6" w:rsidP="00E93AB6">
            <w:pPr>
              <w:jc w:val="both"/>
              <w:rPr>
                <w:color w:val="000000"/>
              </w:rPr>
            </w:pPr>
            <w:r>
              <w:rPr>
                <w:color w:val="000000"/>
              </w:rPr>
              <w:t>В чл.2 от Наредба № 5 от 28 декември 2006г. за техническите паспорти на строежите е регламентирано, че техническият паспорт се съставя/актуализира преди въвеждането на строежа в експлоатация. В техническият паспорт трябва да е вписано издаденото удостоверение за въвеждане в експлоатация</w:t>
            </w:r>
            <w:r w:rsidR="00F52502">
              <w:rPr>
                <w:color w:val="000000"/>
              </w:rPr>
              <w:t>,</w:t>
            </w:r>
            <w:r>
              <w:rPr>
                <w:color w:val="000000"/>
              </w:rPr>
              <w:t xml:space="preserve"> след което се регистрира</w:t>
            </w:r>
            <w:r w:rsidR="00F52502">
              <w:rPr>
                <w:color w:val="000000"/>
              </w:rPr>
              <w:t>.</w:t>
            </w:r>
          </w:p>
        </w:tc>
      </w:tr>
      <w:tr w:rsidR="008B4B31" w:rsidRPr="00122816" w:rsidTr="0047211F">
        <w:trPr>
          <w:jc w:val="center"/>
        </w:trPr>
        <w:tc>
          <w:tcPr>
            <w:tcW w:w="578" w:type="dxa"/>
            <w:shd w:val="clear" w:color="auto" w:fill="auto"/>
          </w:tcPr>
          <w:p w:rsidR="00BE2232" w:rsidRPr="00122816" w:rsidRDefault="00BE2232" w:rsidP="00122816">
            <w:pPr>
              <w:jc w:val="center"/>
              <w:rPr>
                <w:color w:val="000000"/>
              </w:rPr>
            </w:pPr>
            <w:r w:rsidRPr="00122816">
              <w:rPr>
                <w:color w:val="000000"/>
              </w:rPr>
              <w:t>6.</w:t>
            </w:r>
          </w:p>
        </w:tc>
        <w:tc>
          <w:tcPr>
            <w:tcW w:w="1768" w:type="dxa"/>
            <w:shd w:val="clear" w:color="auto" w:fill="auto"/>
          </w:tcPr>
          <w:p w:rsidR="00BE2232" w:rsidRPr="00122816" w:rsidRDefault="00BE2232" w:rsidP="00122816">
            <w:pPr>
              <w:jc w:val="both"/>
              <w:rPr>
                <w:color w:val="000000"/>
                <w:lang w:val="en"/>
              </w:rPr>
            </w:pPr>
            <w:r w:rsidRPr="00122816">
              <w:rPr>
                <w:color w:val="000000"/>
              </w:rPr>
              <w:t>НСОРБ</w:t>
            </w:r>
          </w:p>
        </w:tc>
        <w:tc>
          <w:tcPr>
            <w:tcW w:w="3118" w:type="dxa"/>
            <w:shd w:val="clear" w:color="auto" w:fill="auto"/>
          </w:tcPr>
          <w:p w:rsidR="00BE2232" w:rsidRPr="00122816" w:rsidRDefault="00BE2232" w:rsidP="00122816">
            <w:pPr>
              <w:jc w:val="both"/>
              <w:rPr>
                <w:color w:val="000000"/>
                <w:u w:val="single"/>
                <w:lang w:bidi="bg-BG"/>
              </w:rPr>
            </w:pPr>
            <w:r w:rsidRPr="00122816">
              <w:rPr>
                <w:color w:val="000000"/>
                <w:u w:val="single"/>
                <w:lang w:bidi="bg-BG"/>
              </w:rPr>
              <w:t>По приложение №</w:t>
            </w:r>
            <w:r w:rsidR="002E3076" w:rsidRPr="00122816">
              <w:rPr>
                <w:color w:val="000000"/>
                <w:u w:val="single"/>
                <w:lang w:bidi="bg-BG"/>
              </w:rPr>
              <w:t xml:space="preserve"> </w:t>
            </w:r>
            <w:r w:rsidR="00B943BB" w:rsidRPr="00122816">
              <w:rPr>
                <w:color w:val="000000"/>
                <w:u w:val="single"/>
                <w:lang w:bidi="bg-BG"/>
              </w:rPr>
              <w:t>1</w:t>
            </w:r>
          </w:p>
          <w:p w:rsidR="00BE2232" w:rsidRPr="00122816" w:rsidRDefault="00924CCD" w:rsidP="00122816">
            <w:pPr>
              <w:jc w:val="both"/>
              <w:rPr>
                <w:color w:val="000000"/>
                <w:lang w:val="en"/>
              </w:rPr>
            </w:pPr>
            <w:r w:rsidRPr="00122816">
              <w:rPr>
                <w:color w:val="000000"/>
                <w:lang w:bidi="bg-BG"/>
              </w:rPr>
              <w:t xml:space="preserve">В т. 10 да се предвидят допълнителни редове за изброяване на приложените актове по специални закони, които са необходимо </w:t>
            </w:r>
            <w:r w:rsidRPr="00122816">
              <w:rPr>
                <w:color w:val="000000"/>
                <w:lang w:bidi="bg-BG"/>
              </w:rPr>
              <w:lastRenderedPageBreak/>
              <w:t>условие за въвеждане в експлоатация</w:t>
            </w:r>
            <w:r w:rsidR="00B943BB" w:rsidRPr="00122816">
              <w:rPr>
                <w:color w:val="000000"/>
                <w:lang w:bidi="bg-BG"/>
              </w:rPr>
              <w:t>.</w:t>
            </w:r>
          </w:p>
        </w:tc>
        <w:tc>
          <w:tcPr>
            <w:tcW w:w="1985" w:type="dxa"/>
            <w:shd w:val="clear" w:color="auto" w:fill="auto"/>
          </w:tcPr>
          <w:p w:rsidR="00BE2232" w:rsidRPr="00E93AB6" w:rsidRDefault="00126D17" w:rsidP="00122816">
            <w:pPr>
              <w:jc w:val="both"/>
              <w:rPr>
                <w:color w:val="000000"/>
              </w:rPr>
            </w:pPr>
            <w:r>
              <w:rPr>
                <w:color w:val="000000"/>
              </w:rPr>
              <w:lastRenderedPageBreak/>
              <w:t xml:space="preserve">не се </w:t>
            </w:r>
            <w:r w:rsidR="00E93AB6">
              <w:rPr>
                <w:color w:val="000000"/>
              </w:rPr>
              <w:t xml:space="preserve">приема  </w:t>
            </w:r>
          </w:p>
        </w:tc>
        <w:tc>
          <w:tcPr>
            <w:tcW w:w="4394" w:type="dxa"/>
            <w:shd w:val="clear" w:color="auto" w:fill="auto"/>
          </w:tcPr>
          <w:p w:rsidR="00BE2232" w:rsidRPr="00122816" w:rsidRDefault="00BE2232" w:rsidP="00122816">
            <w:pPr>
              <w:jc w:val="both"/>
              <w:rPr>
                <w:color w:val="000000"/>
                <w:lang w:val="en"/>
              </w:rPr>
            </w:pPr>
          </w:p>
        </w:tc>
        <w:tc>
          <w:tcPr>
            <w:tcW w:w="3730" w:type="dxa"/>
            <w:shd w:val="clear" w:color="auto" w:fill="auto"/>
          </w:tcPr>
          <w:p w:rsidR="00AF4EDE" w:rsidRPr="00AF4EDE" w:rsidRDefault="00AF4EDE" w:rsidP="00AF4EDE">
            <w:pPr>
              <w:jc w:val="both"/>
              <w:rPr>
                <w:color w:val="000000"/>
                <w:lang w:bidi="bg-BG"/>
              </w:rPr>
            </w:pPr>
            <w:r>
              <w:rPr>
                <w:color w:val="000000"/>
              </w:rPr>
              <w:t xml:space="preserve">В </w:t>
            </w:r>
            <w:r w:rsidRPr="00AF4EDE">
              <w:rPr>
                <w:color w:val="000000"/>
                <w:lang w:bidi="bg-BG"/>
              </w:rPr>
              <w:t>приложение № 1</w:t>
            </w:r>
            <w:r>
              <w:rPr>
                <w:color w:val="000000"/>
                <w:lang w:bidi="bg-BG"/>
              </w:rPr>
              <w:t xml:space="preserve"> са посочени документите, които следва да бъдат приложени към заявлението. </w:t>
            </w:r>
          </w:p>
          <w:p w:rsidR="00BE2232" w:rsidRPr="00617E73" w:rsidRDefault="00BE2232" w:rsidP="00122816">
            <w:pPr>
              <w:jc w:val="both"/>
              <w:rPr>
                <w:color w:val="000000"/>
              </w:rPr>
            </w:pPr>
          </w:p>
        </w:tc>
      </w:tr>
      <w:tr w:rsidR="008B4B31" w:rsidRPr="00122816" w:rsidTr="0047211F">
        <w:trPr>
          <w:jc w:val="center"/>
        </w:trPr>
        <w:tc>
          <w:tcPr>
            <w:tcW w:w="578" w:type="dxa"/>
            <w:shd w:val="clear" w:color="auto" w:fill="auto"/>
          </w:tcPr>
          <w:p w:rsidR="002E3076" w:rsidRPr="00A57F85" w:rsidRDefault="002E3076" w:rsidP="00122816">
            <w:pPr>
              <w:jc w:val="center"/>
              <w:rPr>
                <w:color w:val="000000"/>
              </w:rPr>
            </w:pPr>
            <w:r w:rsidRPr="00A57F85">
              <w:rPr>
                <w:color w:val="000000"/>
              </w:rPr>
              <w:t>7.</w:t>
            </w:r>
          </w:p>
        </w:tc>
        <w:tc>
          <w:tcPr>
            <w:tcW w:w="1768" w:type="dxa"/>
            <w:shd w:val="clear" w:color="auto" w:fill="auto"/>
          </w:tcPr>
          <w:p w:rsidR="002E3076" w:rsidRPr="00A57F85" w:rsidRDefault="002E3076" w:rsidP="00122816">
            <w:pPr>
              <w:jc w:val="both"/>
              <w:rPr>
                <w:color w:val="000000"/>
                <w:lang w:val="en"/>
              </w:rPr>
            </w:pPr>
            <w:r w:rsidRPr="00A57F85">
              <w:rPr>
                <w:color w:val="000000"/>
              </w:rPr>
              <w:t>НСОРБ</w:t>
            </w:r>
          </w:p>
        </w:tc>
        <w:tc>
          <w:tcPr>
            <w:tcW w:w="3118" w:type="dxa"/>
            <w:shd w:val="clear" w:color="auto" w:fill="auto"/>
          </w:tcPr>
          <w:p w:rsidR="002E3076" w:rsidRPr="00A57F85" w:rsidRDefault="002E3076" w:rsidP="00122816">
            <w:pPr>
              <w:jc w:val="both"/>
              <w:rPr>
                <w:color w:val="000000"/>
                <w:lang w:bidi="bg-BG"/>
              </w:rPr>
            </w:pPr>
            <w:r w:rsidRPr="00A57F85">
              <w:rPr>
                <w:color w:val="000000"/>
                <w:u w:val="single"/>
                <w:lang w:bidi="bg-BG"/>
              </w:rPr>
              <w:t>По приложение № 1</w:t>
            </w:r>
          </w:p>
          <w:p w:rsidR="002E3076" w:rsidRPr="00A57F85" w:rsidRDefault="00B943BB" w:rsidP="00122816">
            <w:pPr>
              <w:jc w:val="both"/>
              <w:rPr>
                <w:color w:val="000000"/>
                <w:lang w:val="en"/>
              </w:rPr>
            </w:pPr>
            <w:r w:rsidRPr="00A57F85">
              <w:rPr>
                <w:color w:val="000000"/>
                <w:lang w:bidi="bg-BG"/>
              </w:rPr>
              <w:t>Да се създаде нова т. 12 - „Документ за платена такса, ако плащането не е извършено по електронен път“.</w:t>
            </w:r>
          </w:p>
        </w:tc>
        <w:tc>
          <w:tcPr>
            <w:tcW w:w="1985" w:type="dxa"/>
            <w:shd w:val="clear" w:color="auto" w:fill="auto"/>
          </w:tcPr>
          <w:p w:rsidR="002E3076" w:rsidRPr="00A57F85" w:rsidRDefault="00AF4EDE" w:rsidP="00122816">
            <w:pPr>
              <w:jc w:val="both"/>
              <w:rPr>
                <w:color w:val="000000"/>
              </w:rPr>
            </w:pPr>
            <w:r w:rsidRPr="00A57F85">
              <w:rPr>
                <w:color w:val="000000"/>
              </w:rPr>
              <w:t>п</w:t>
            </w:r>
            <w:r w:rsidR="00014385" w:rsidRPr="00A57F85">
              <w:rPr>
                <w:color w:val="000000"/>
              </w:rPr>
              <w:t xml:space="preserve">риема се </w:t>
            </w:r>
          </w:p>
        </w:tc>
        <w:tc>
          <w:tcPr>
            <w:tcW w:w="4394" w:type="dxa"/>
            <w:shd w:val="clear" w:color="auto" w:fill="auto"/>
          </w:tcPr>
          <w:p w:rsidR="002E3076" w:rsidRPr="00A57F85" w:rsidRDefault="002E3076" w:rsidP="00122816">
            <w:pPr>
              <w:jc w:val="both"/>
              <w:rPr>
                <w:color w:val="000000"/>
                <w:lang w:val="en"/>
              </w:rPr>
            </w:pPr>
          </w:p>
        </w:tc>
        <w:tc>
          <w:tcPr>
            <w:tcW w:w="3730" w:type="dxa"/>
            <w:shd w:val="clear" w:color="auto" w:fill="auto"/>
          </w:tcPr>
          <w:p w:rsidR="00014385" w:rsidRPr="00A57F85" w:rsidRDefault="00014385" w:rsidP="00014385">
            <w:pPr>
              <w:spacing w:line="268" w:lineRule="auto"/>
              <w:ind w:firstLine="283"/>
              <w:textAlignment w:val="center"/>
              <w:rPr>
                <w:color w:val="000000"/>
                <w:lang w:val="en-US" w:eastAsia="en-US"/>
              </w:rPr>
            </w:pPr>
            <w:r w:rsidRPr="00A57F85">
              <w:rPr>
                <w:color w:val="000000"/>
                <w:lang w:eastAsia="en-US"/>
              </w:rPr>
              <w:t xml:space="preserve">Съгласно §3, ал.1 от ДР на ЗУТ за други административни услуги по ЗУТ се събират такси по Закона за местните данъци и такси. С цел унифициране  с образците на заявления </w:t>
            </w:r>
            <w:r w:rsidRPr="00A57F85">
              <w:t>от Наредба</w:t>
            </w:r>
            <w:r w:rsidR="00274169" w:rsidRPr="00A57F85">
              <w:t>та</w:t>
            </w:r>
            <w:r w:rsidRPr="00A57F85">
              <w:t xml:space="preserve"> за административното обслужване </w:t>
            </w:r>
            <w:r w:rsidR="00274169" w:rsidRPr="00A57F85">
              <w:rPr>
                <w:color w:val="000000"/>
                <w:lang w:eastAsia="en-US"/>
              </w:rPr>
              <w:t>да се създаде нова т.12 „</w:t>
            </w:r>
            <w:proofErr w:type="spellStart"/>
            <w:r w:rsidRPr="00A57F85">
              <w:rPr>
                <w:color w:val="000000"/>
                <w:lang w:val="en-US" w:eastAsia="en-US"/>
              </w:rPr>
              <w:t>Документ</w:t>
            </w:r>
            <w:proofErr w:type="spellEnd"/>
            <w:r w:rsidRPr="00A57F85">
              <w:rPr>
                <w:color w:val="000000"/>
                <w:lang w:val="en-US" w:eastAsia="en-US"/>
              </w:rPr>
              <w:t xml:space="preserve"> </w:t>
            </w:r>
            <w:proofErr w:type="spellStart"/>
            <w:r w:rsidRPr="00A57F85">
              <w:rPr>
                <w:color w:val="000000"/>
                <w:lang w:val="en-US" w:eastAsia="en-US"/>
              </w:rPr>
              <w:t>за</w:t>
            </w:r>
            <w:proofErr w:type="spellEnd"/>
            <w:r w:rsidRPr="00A57F85">
              <w:rPr>
                <w:color w:val="000000"/>
                <w:lang w:val="en-US" w:eastAsia="en-US"/>
              </w:rPr>
              <w:t xml:space="preserve"> </w:t>
            </w:r>
            <w:proofErr w:type="spellStart"/>
            <w:r w:rsidRPr="00A57F85">
              <w:rPr>
                <w:color w:val="000000"/>
                <w:lang w:val="en-US" w:eastAsia="en-US"/>
              </w:rPr>
              <w:t>платена</w:t>
            </w:r>
            <w:proofErr w:type="spellEnd"/>
            <w:r w:rsidRPr="00A57F85">
              <w:rPr>
                <w:color w:val="000000"/>
                <w:lang w:val="en-US" w:eastAsia="en-US"/>
              </w:rPr>
              <w:t xml:space="preserve"> </w:t>
            </w:r>
            <w:proofErr w:type="spellStart"/>
            <w:r w:rsidRPr="00A57F85">
              <w:rPr>
                <w:color w:val="000000"/>
                <w:lang w:val="en-US" w:eastAsia="en-US"/>
              </w:rPr>
              <w:t>такса</w:t>
            </w:r>
            <w:proofErr w:type="spellEnd"/>
            <w:r w:rsidRPr="00A57F85">
              <w:rPr>
                <w:color w:val="000000"/>
                <w:lang w:val="en-US" w:eastAsia="en-US"/>
              </w:rPr>
              <w:t xml:space="preserve">, </w:t>
            </w:r>
            <w:proofErr w:type="spellStart"/>
            <w:r w:rsidRPr="00A57F85">
              <w:rPr>
                <w:color w:val="000000"/>
                <w:lang w:val="en-US" w:eastAsia="en-US"/>
              </w:rPr>
              <w:t>освен</w:t>
            </w:r>
            <w:proofErr w:type="spellEnd"/>
            <w:r w:rsidRPr="00A57F85">
              <w:rPr>
                <w:color w:val="000000"/>
                <w:lang w:val="en-US" w:eastAsia="en-US"/>
              </w:rPr>
              <w:t xml:space="preserve"> </w:t>
            </w:r>
            <w:proofErr w:type="spellStart"/>
            <w:r w:rsidRPr="00A57F85">
              <w:rPr>
                <w:color w:val="000000"/>
                <w:lang w:val="en-US" w:eastAsia="en-US"/>
              </w:rPr>
              <w:t>ако</w:t>
            </w:r>
            <w:proofErr w:type="spellEnd"/>
            <w:r w:rsidRPr="00A57F85">
              <w:rPr>
                <w:color w:val="000000"/>
                <w:lang w:val="en-US" w:eastAsia="en-US"/>
              </w:rPr>
              <w:t xml:space="preserve"> </w:t>
            </w:r>
            <w:proofErr w:type="spellStart"/>
            <w:r w:rsidRPr="00A57F85">
              <w:rPr>
                <w:color w:val="000000"/>
                <w:lang w:val="en-US" w:eastAsia="en-US"/>
              </w:rPr>
              <w:t>плащането</w:t>
            </w:r>
            <w:proofErr w:type="spellEnd"/>
            <w:r w:rsidRPr="00A57F85">
              <w:rPr>
                <w:color w:val="000000"/>
                <w:lang w:val="en-US" w:eastAsia="en-US"/>
              </w:rPr>
              <w:t xml:space="preserve"> е </w:t>
            </w:r>
            <w:proofErr w:type="spellStart"/>
            <w:r w:rsidRPr="00A57F85">
              <w:rPr>
                <w:color w:val="000000"/>
                <w:lang w:val="en-US" w:eastAsia="en-US"/>
              </w:rPr>
              <w:t>извършено</w:t>
            </w:r>
            <w:proofErr w:type="spellEnd"/>
            <w:r w:rsidRPr="00A57F85">
              <w:rPr>
                <w:color w:val="000000"/>
                <w:lang w:val="en-US" w:eastAsia="en-US"/>
              </w:rPr>
              <w:t xml:space="preserve"> </w:t>
            </w:r>
            <w:proofErr w:type="spellStart"/>
            <w:r w:rsidRPr="00A57F85">
              <w:rPr>
                <w:color w:val="000000"/>
                <w:lang w:val="en-US" w:eastAsia="en-US"/>
              </w:rPr>
              <w:t>по</w:t>
            </w:r>
            <w:proofErr w:type="spellEnd"/>
            <w:r w:rsidRPr="00A57F85">
              <w:rPr>
                <w:color w:val="000000"/>
                <w:lang w:val="en-US" w:eastAsia="en-US"/>
              </w:rPr>
              <w:t xml:space="preserve"> </w:t>
            </w:r>
            <w:proofErr w:type="spellStart"/>
            <w:r w:rsidRPr="00A57F85">
              <w:rPr>
                <w:color w:val="000000"/>
                <w:lang w:val="en-US" w:eastAsia="en-US"/>
              </w:rPr>
              <w:t>електронен</w:t>
            </w:r>
            <w:proofErr w:type="spellEnd"/>
            <w:r w:rsidRPr="00A57F85">
              <w:rPr>
                <w:color w:val="000000"/>
                <w:lang w:val="en-US" w:eastAsia="en-US"/>
              </w:rPr>
              <w:t xml:space="preserve"> </w:t>
            </w:r>
            <w:proofErr w:type="spellStart"/>
            <w:r w:rsidRPr="00A57F85">
              <w:rPr>
                <w:color w:val="000000"/>
                <w:lang w:val="en-US" w:eastAsia="en-US"/>
              </w:rPr>
              <w:t>път</w:t>
            </w:r>
            <w:proofErr w:type="spellEnd"/>
            <w:r w:rsidRPr="00A57F85">
              <w:rPr>
                <w:color w:val="000000"/>
                <w:lang w:val="en-US" w:eastAsia="en-US"/>
              </w:rPr>
              <w:t>.</w:t>
            </w:r>
          </w:p>
          <w:p w:rsidR="002E3076" w:rsidRPr="00A57F85" w:rsidRDefault="00014385" w:rsidP="00014385">
            <w:pPr>
              <w:jc w:val="both"/>
              <w:rPr>
                <w:color w:val="000000"/>
              </w:rPr>
            </w:pPr>
            <w:r w:rsidRPr="00A57F85">
              <w:rPr>
                <w:rFonts w:ascii="Wingdings 2" w:hAnsi="Wingdings 2"/>
                <w:color w:val="000000"/>
                <w:lang w:val="en-US" w:eastAsia="en-US"/>
              </w:rPr>
              <w:t></w:t>
            </w:r>
            <w:r w:rsidRPr="00A57F85">
              <w:rPr>
                <w:color w:val="000000"/>
                <w:lang w:val="en-US" w:eastAsia="en-US"/>
              </w:rPr>
              <w:t xml:space="preserve"> </w:t>
            </w:r>
            <w:proofErr w:type="spellStart"/>
            <w:r w:rsidRPr="00A57F85">
              <w:rPr>
                <w:color w:val="000000"/>
                <w:lang w:val="en-US" w:eastAsia="en-US"/>
              </w:rPr>
              <w:t>Плащането</w:t>
            </w:r>
            <w:proofErr w:type="spellEnd"/>
            <w:r w:rsidRPr="00A57F85">
              <w:rPr>
                <w:color w:val="000000"/>
                <w:lang w:val="en-US" w:eastAsia="en-US"/>
              </w:rPr>
              <w:t xml:space="preserve"> е </w:t>
            </w:r>
            <w:proofErr w:type="spellStart"/>
            <w:r w:rsidRPr="00A57F85">
              <w:rPr>
                <w:color w:val="000000"/>
                <w:lang w:val="en-US" w:eastAsia="en-US"/>
              </w:rPr>
              <w:t>извършено</w:t>
            </w:r>
            <w:proofErr w:type="spellEnd"/>
            <w:r w:rsidRPr="00A57F85">
              <w:rPr>
                <w:color w:val="000000"/>
                <w:lang w:val="en-US" w:eastAsia="en-US"/>
              </w:rPr>
              <w:t xml:space="preserve"> </w:t>
            </w:r>
            <w:proofErr w:type="spellStart"/>
            <w:r w:rsidRPr="00A57F85">
              <w:rPr>
                <w:color w:val="000000"/>
                <w:lang w:val="en-US" w:eastAsia="en-US"/>
              </w:rPr>
              <w:t>по</w:t>
            </w:r>
            <w:proofErr w:type="spellEnd"/>
            <w:r w:rsidRPr="00A57F85">
              <w:rPr>
                <w:color w:val="000000"/>
                <w:lang w:val="en-US" w:eastAsia="en-US"/>
              </w:rPr>
              <w:t xml:space="preserve"> </w:t>
            </w:r>
            <w:proofErr w:type="spellStart"/>
            <w:r w:rsidRPr="00A57F85">
              <w:rPr>
                <w:color w:val="000000"/>
                <w:lang w:val="en-US" w:eastAsia="en-US"/>
              </w:rPr>
              <w:t>електронен</w:t>
            </w:r>
            <w:proofErr w:type="spellEnd"/>
            <w:r w:rsidRPr="00A57F85">
              <w:rPr>
                <w:color w:val="000000"/>
                <w:lang w:val="en-US" w:eastAsia="en-US"/>
              </w:rPr>
              <w:t xml:space="preserve"> </w:t>
            </w:r>
            <w:proofErr w:type="spellStart"/>
            <w:r w:rsidRPr="00A57F85">
              <w:rPr>
                <w:color w:val="000000"/>
                <w:lang w:val="en-US" w:eastAsia="en-US"/>
              </w:rPr>
              <w:t>път</w:t>
            </w:r>
            <w:proofErr w:type="spellEnd"/>
            <w:r w:rsidRPr="00A57F85">
              <w:rPr>
                <w:color w:val="000000"/>
                <w:lang w:val="en-US" w:eastAsia="en-US"/>
              </w:rPr>
              <w:t xml:space="preserve"> (</w:t>
            </w:r>
            <w:proofErr w:type="spellStart"/>
            <w:r w:rsidRPr="00A57F85">
              <w:rPr>
                <w:i/>
                <w:iCs/>
                <w:color w:val="000000"/>
                <w:lang w:val="en-US" w:eastAsia="en-US"/>
              </w:rPr>
              <w:t>отбележете</w:t>
            </w:r>
            <w:proofErr w:type="spellEnd"/>
            <w:r w:rsidRPr="00A57F85">
              <w:rPr>
                <w:i/>
                <w:iCs/>
                <w:color w:val="000000"/>
                <w:lang w:val="en-US" w:eastAsia="en-US"/>
              </w:rPr>
              <w:t xml:space="preserve"> </w:t>
            </w:r>
            <w:proofErr w:type="spellStart"/>
            <w:r w:rsidRPr="00A57F85">
              <w:rPr>
                <w:i/>
                <w:iCs/>
                <w:color w:val="000000"/>
                <w:lang w:val="en-US" w:eastAsia="en-US"/>
              </w:rPr>
              <w:t>със</w:t>
            </w:r>
            <w:proofErr w:type="spellEnd"/>
            <w:r w:rsidRPr="00A57F85">
              <w:rPr>
                <w:i/>
                <w:iCs/>
                <w:color w:val="000000"/>
                <w:lang w:val="en-US" w:eastAsia="en-US"/>
              </w:rPr>
              <w:t xml:space="preserve"> </w:t>
            </w:r>
            <w:proofErr w:type="spellStart"/>
            <w:r w:rsidRPr="00A57F85">
              <w:rPr>
                <w:i/>
                <w:iCs/>
                <w:color w:val="000000"/>
                <w:lang w:val="en-US" w:eastAsia="en-US"/>
              </w:rPr>
              <w:t>знак</w:t>
            </w:r>
            <w:proofErr w:type="spellEnd"/>
            <w:r w:rsidRPr="00A57F85">
              <w:rPr>
                <w:color w:val="000000"/>
                <w:lang w:val="en-US" w:eastAsia="en-US"/>
              </w:rPr>
              <w:t xml:space="preserve"> </w:t>
            </w:r>
            <w:r w:rsidRPr="00A57F85">
              <w:rPr>
                <w:rFonts w:ascii="Wingdings 2" w:hAnsi="Wingdings 2"/>
                <w:color w:val="000000"/>
                <w:lang w:val="en-US" w:eastAsia="en-US"/>
              </w:rPr>
              <w:t></w:t>
            </w:r>
            <w:r w:rsidRPr="00A57F85">
              <w:rPr>
                <w:color w:val="000000"/>
                <w:lang w:val="en-US" w:eastAsia="en-US"/>
              </w:rPr>
              <w:t xml:space="preserve">, </w:t>
            </w:r>
            <w:proofErr w:type="spellStart"/>
            <w:r w:rsidRPr="00A57F85">
              <w:rPr>
                <w:i/>
                <w:iCs/>
                <w:color w:val="000000"/>
                <w:lang w:val="en-US" w:eastAsia="en-US"/>
              </w:rPr>
              <w:t>когато</w:t>
            </w:r>
            <w:proofErr w:type="spellEnd"/>
            <w:r w:rsidRPr="00A57F85">
              <w:rPr>
                <w:i/>
                <w:iCs/>
                <w:color w:val="000000"/>
                <w:lang w:val="en-US" w:eastAsia="en-US"/>
              </w:rPr>
              <w:t xml:space="preserve"> </w:t>
            </w:r>
            <w:proofErr w:type="spellStart"/>
            <w:r w:rsidRPr="00A57F85">
              <w:rPr>
                <w:i/>
                <w:iCs/>
                <w:color w:val="000000"/>
                <w:lang w:val="en-US" w:eastAsia="en-US"/>
              </w:rPr>
              <w:t>плащането</w:t>
            </w:r>
            <w:proofErr w:type="spellEnd"/>
            <w:r w:rsidRPr="00A57F85">
              <w:rPr>
                <w:i/>
                <w:iCs/>
                <w:color w:val="000000"/>
                <w:lang w:val="en-US" w:eastAsia="en-US"/>
              </w:rPr>
              <w:t xml:space="preserve"> е </w:t>
            </w:r>
            <w:proofErr w:type="spellStart"/>
            <w:r w:rsidRPr="00A57F85">
              <w:rPr>
                <w:i/>
                <w:iCs/>
                <w:color w:val="000000"/>
                <w:lang w:val="en-US" w:eastAsia="en-US"/>
              </w:rPr>
              <w:t>извършено</w:t>
            </w:r>
            <w:proofErr w:type="spellEnd"/>
            <w:r w:rsidRPr="00A57F85">
              <w:rPr>
                <w:i/>
                <w:iCs/>
                <w:color w:val="000000"/>
                <w:lang w:val="en-US" w:eastAsia="en-US"/>
              </w:rPr>
              <w:t xml:space="preserve"> </w:t>
            </w:r>
            <w:proofErr w:type="spellStart"/>
            <w:r w:rsidRPr="00A57F85">
              <w:rPr>
                <w:i/>
                <w:iCs/>
                <w:color w:val="000000"/>
                <w:lang w:val="en-US" w:eastAsia="en-US"/>
              </w:rPr>
              <w:t>по</w:t>
            </w:r>
            <w:proofErr w:type="spellEnd"/>
            <w:r w:rsidRPr="00A57F85">
              <w:rPr>
                <w:i/>
                <w:iCs/>
                <w:color w:val="000000"/>
                <w:lang w:val="en-US" w:eastAsia="en-US"/>
              </w:rPr>
              <w:t xml:space="preserve"> </w:t>
            </w:r>
            <w:proofErr w:type="spellStart"/>
            <w:r w:rsidRPr="00A57F85">
              <w:rPr>
                <w:i/>
                <w:iCs/>
                <w:color w:val="000000"/>
                <w:lang w:val="en-US" w:eastAsia="en-US"/>
              </w:rPr>
              <w:t>електронен</w:t>
            </w:r>
            <w:proofErr w:type="spellEnd"/>
            <w:r w:rsidRPr="00A57F85">
              <w:rPr>
                <w:i/>
                <w:iCs/>
                <w:color w:val="000000"/>
                <w:lang w:val="en-US" w:eastAsia="en-US"/>
              </w:rPr>
              <w:t xml:space="preserve"> </w:t>
            </w:r>
            <w:proofErr w:type="spellStart"/>
            <w:r w:rsidRPr="00A57F85">
              <w:rPr>
                <w:i/>
                <w:iCs/>
                <w:color w:val="000000"/>
                <w:lang w:val="en-US" w:eastAsia="en-US"/>
              </w:rPr>
              <w:t>път</w:t>
            </w:r>
            <w:proofErr w:type="spellEnd"/>
            <w:r w:rsidRPr="00A57F85">
              <w:rPr>
                <w:color w:val="000000"/>
                <w:lang w:val="en-US" w:eastAsia="en-US"/>
              </w:rPr>
              <w:t>)</w:t>
            </w:r>
            <w:proofErr w:type="gramStart"/>
            <w:r w:rsidRPr="00A57F85">
              <w:rPr>
                <w:color w:val="000000"/>
                <w:lang w:val="en-US" w:eastAsia="en-US"/>
              </w:rPr>
              <w:t>.</w:t>
            </w:r>
            <w:r w:rsidR="00274169" w:rsidRPr="00A57F85">
              <w:rPr>
                <w:color w:val="000000"/>
                <w:lang w:eastAsia="en-US"/>
              </w:rPr>
              <w:t>“</w:t>
            </w:r>
            <w:proofErr w:type="gramEnd"/>
          </w:p>
        </w:tc>
      </w:tr>
      <w:tr w:rsidR="008B4B31" w:rsidRPr="00122816" w:rsidTr="0047211F">
        <w:trPr>
          <w:jc w:val="center"/>
        </w:trPr>
        <w:tc>
          <w:tcPr>
            <w:tcW w:w="578" w:type="dxa"/>
            <w:shd w:val="clear" w:color="auto" w:fill="auto"/>
          </w:tcPr>
          <w:p w:rsidR="002942E3" w:rsidRPr="00A57F85" w:rsidRDefault="002942E3" w:rsidP="00122816">
            <w:pPr>
              <w:jc w:val="center"/>
              <w:rPr>
                <w:color w:val="000000"/>
              </w:rPr>
            </w:pPr>
            <w:r w:rsidRPr="00A57F85">
              <w:rPr>
                <w:color w:val="000000"/>
              </w:rPr>
              <w:t>8.</w:t>
            </w:r>
          </w:p>
        </w:tc>
        <w:tc>
          <w:tcPr>
            <w:tcW w:w="1768" w:type="dxa"/>
            <w:shd w:val="clear" w:color="auto" w:fill="auto"/>
          </w:tcPr>
          <w:p w:rsidR="002942E3" w:rsidRPr="00A57F85" w:rsidRDefault="002942E3" w:rsidP="00122816">
            <w:pPr>
              <w:jc w:val="both"/>
              <w:rPr>
                <w:color w:val="000000"/>
                <w:lang w:val="en"/>
              </w:rPr>
            </w:pPr>
            <w:r w:rsidRPr="00A57F85">
              <w:rPr>
                <w:color w:val="000000"/>
              </w:rPr>
              <w:t>НСОРБ</w:t>
            </w:r>
          </w:p>
        </w:tc>
        <w:tc>
          <w:tcPr>
            <w:tcW w:w="3118" w:type="dxa"/>
            <w:shd w:val="clear" w:color="auto" w:fill="auto"/>
          </w:tcPr>
          <w:p w:rsidR="002942E3" w:rsidRPr="00A57F85" w:rsidRDefault="002942E3" w:rsidP="00122816">
            <w:pPr>
              <w:jc w:val="both"/>
              <w:rPr>
                <w:color w:val="000000"/>
                <w:lang w:bidi="bg-BG"/>
              </w:rPr>
            </w:pPr>
            <w:r w:rsidRPr="00A57F85">
              <w:rPr>
                <w:color w:val="000000"/>
                <w:lang w:bidi="bg-BG"/>
              </w:rPr>
              <w:t>По приложение № 2</w:t>
            </w:r>
          </w:p>
          <w:p w:rsidR="002942E3" w:rsidRPr="00A57F85" w:rsidRDefault="00ED5441" w:rsidP="00122816">
            <w:pPr>
              <w:jc w:val="both"/>
              <w:rPr>
                <w:color w:val="000000"/>
                <w:lang w:bidi="bg-BG"/>
              </w:rPr>
            </w:pPr>
            <w:r w:rsidRPr="00A57F85">
              <w:rPr>
                <w:color w:val="000000"/>
                <w:lang w:bidi="bg-BG"/>
              </w:rPr>
              <w:t>Коректно е да бъде изписано „областна администрация“, а не „област“</w:t>
            </w:r>
          </w:p>
        </w:tc>
        <w:tc>
          <w:tcPr>
            <w:tcW w:w="1985" w:type="dxa"/>
            <w:shd w:val="clear" w:color="auto" w:fill="auto"/>
          </w:tcPr>
          <w:p w:rsidR="002942E3" w:rsidRPr="00A57F85" w:rsidRDefault="0077381C" w:rsidP="00122816">
            <w:pPr>
              <w:jc w:val="both"/>
              <w:rPr>
                <w:color w:val="000000"/>
              </w:rPr>
            </w:pPr>
            <w:r w:rsidRPr="00A57F85">
              <w:rPr>
                <w:color w:val="000000"/>
              </w:rPr>
              <w:t xml:space="preserve">приема </w:t>
            </w:r>
            <w:r w:rsidR="000E5019" w:rsidRPr="00A57F85">
              <w:rPr>
                <w:color w:val="000000"/>
              </w:rPr>
              <w:t xml:space="preserve">се </w:t>
            </w:r>
          </w:p>
        </w:tc>
        <w:tc>
          <w:tcPr>
            <w:tcW w:w="4394" w:type="dxa"/>
            <w:shd w:val="clear" w:color="auto" w:fill="auto"/>
          </w:tcPr>
          <w:p w:rsidR="002942E3" w:rsidRPr="00A57F85" w:rsidRDefault="002942E3" w:rsidP="00122816">
            <w:pPr>
              <w:jc w:val="both"/>
              <w:rPr>
                <w:color w:val="000000"/>
                <w:lang w:val="en"/>
              </w:rPr>
            </w:pPr>
          </w:p>
        </w:tc>
        <w:tc>
          <w:tcPr>
            <w:tcW w:w="3730" w:type="dxa"/>
            <w:shd w:val="clear" w:color="auto" w:fill="auto"/>
          </w:tcPr>
          <w:p w:rsidR="002942E3" w:rsidRPr="00A57F85" w:rsidRDefault="002942E3" w:rsidP="00122816">
            <w:pPr>
              <w:jc w:val="both"/>
              <w:rPr>
                <w:color w:val="000000"/>
                <w:lang w:val="en"/>
              </w:rPr>
            </w:pPr>
          </w:p>
        </w:tc>
      </w:tr>
      <w:tr w:rsidR="008B4B31" w:rsidRPr="00122816" w:rsidTr="0047211F">
        <w:trPr>
          <w:jc w:val="center"/>
        </w:trPr>
        <w:tc>
          <w:tcPr>
            <w:tcW w:w="578" w:type="dxa"/>
            <w:shd w:val="clear" w:color="auto" w:fill="auto"/>
          </w:tcPr>
          <w:p w:rsidR="002942E3" w:rsidRPr="00A57F85" w:rsidRDefault="002942E3" w:rsidP="00122816">
            <w:pPr>
              <w:jc w:val="center"/>
              <w:rPr>
                <w:color w:val="000000"/>
              </w:rPr>
            </w:pPr>
            <w:r w:rsidRPr="00A57F85">
              <w:rPr>
                <w:color w:val="000000"/>
              </w:rPr>
              <w:t>9.</w:t>
            </w:r>
          </w:p>
        </w:tc>
        <w:tc>
          <w:tcPr>
            <w:tcW w:w="1768" w:type="dxa"/>
            <w:shd w:val="clear" w:color="auto" w:fill="auto"/>
          </w:tcPr>
          <w:p w:rsidR="002942E3" w:rsidRPr="00A57F85" w:rsidRDefault="002942E3" w:rsidP="00122816">
            <w:pPr>
              <w:jc w:val="both"/>
              <w:rPr>
                <w:color w:val="000000"/>
                <w:lang w:val="en"/>
              </w:rPr>
            </w:pPr>
            <w:r w:rsidRPr="00A57F85">
              <w:rPr>
                <w:color w:val="000000"/>
              </w:rPr>
              <w:t>НСОРБ</w:t>
            </w:r>
          </w:p>
        </w:tc>
        <w:tc>
          <w:tcPr>
            <w:tcW w:w="3118" w:type="dxa"/>
            <w:shd w:val="clear" w:color="auto" w:fill="auto"/>
          </w:tcPr>
          <w:p w:rsidR="002942E3" w:rsidRPr="00A57F85" w:rsidRDefault="002942E3" w:rsidP="00122816">
            <w:pPr>
              <w:jc w:val="both"/>
              <w:rPr>
                <w:color w:val="000000"/>
                <w:lang w:bidi="bg-BG"/>
              </w:rPr>
            </w:pPr>
            <w:r w:rsidRPr="00A57F85">
              <w:rPr>
                <w:color w:val="000000"/>
                <w:u w:val="single"/>
                <w:lang w:bidi="bg-BG"/>
              </w:rPr>
              <w:t>По приложение № 2</w:t>
            </w:r>
          </w:p>
          <w:p w:rsidR="002942E3" w:rsidRPr="00A57F85" w:rsidRDefault="000F14E9" w:rsidP="00122816">
            <w:pPr>
              <w:jc w:val="both"/>
              <w:rPr>
                <w:color w:val="000000"/>
                <w:lang w:val="en"/>
              </w:rPr>
            </w:pPr>
            <w:r w:rsidRPr="00A57F85">
              <w:rPr>
                <w:color w:val="000000"/>
                <w:lang w:bidi="bg-BG"/>
              </w:rPr>
              <w:t>Считаме, че информацията за възложителя следва да бъде съгласно изискваната в образеца на заявление.</w:t>
            </w:r>
          </w:p>
        </w:tc>
        <w:tc>
          <w:tcPr>
            <w:tcW w:w="1985" w:type="dxa"/>
            <w:shd w:val="clear" w:color="auto" w:fill="auto"/>
          </w:tcPr>
          <w:p w:rsidR="002942E3" w:rsidRPr="00A57F85" w:rsidRDefault="0077381C" w:rsidP="00122816">
            <w:pPr>
              <w:jc w:val="both"/>
              <w:rPr>
                <w:color w:val="000000"/>
              </w:rPr>
            </w:pPr>
            <w:r w:rsidRPr="00A57F85">
              <w:rPr>
                <w:color w:val="000000"/>
              </w:rPr>
              <w:t xml:space="preserve">приема </w:t>
            </w:r>
            <w:r w:rsidR="00B76D40" w:rsidRPr="00A57F85">
              <w:rPr>
                <w:color w:val="000000"/>
              </w:rPr>
              <w:t xml:space="preserve">се </w:t>
            </w:r>
          </w:p>
        </w:tc>
        <w:tc>
          <w:tcPr>
            <w:tcW w:w="4394" w:type="dxa"/>
            <w:shd w:val="clear" w:color="auto" w:fill="auto"/>
          </w:tcPr>
          <w:p w:rsidR="002942E3" w:rsidRPr="00A57F85" w:rsidRDefault="002942E3" w:rsidP="00122816">
            <w:pPr>
              <w:jc w:val="both"/>
              <w:rPr>
                <w:color w:val="000000"/>
                <w:lang w:val="en"/>
              </w:rPr>
            </w:pPr>
          </w:p>
        </w:tc>
        <w:tc>
          <w:tcPr>
            <w:tcW w:w="3730" w:type="dxa"/>
            <w:shd w:val="clear" w:color="auto" w:fill="auto"/>
          </w:tcPr>
          <w:p w:rsidR="002942E3" w:rsidRPr="00A57F85" w:rsidRDefault="0077381C" w:rsidP="00B76D40">
            <w:pPr>
              <w:jc w:val="both"/>
              <w:rPr>
                <w:color w:val="000000"/>
                <w:lang w:val="en"/>
              </w:rPr>
            </w:pPr>
            <w:r w:rsidRPr="00A57F85">
              <w:rPr>
                <w:color w:val="000000"/>
                <w:lang w:bidi="bg-BG"/>
              </w:rPr>
              <w:t xml:space="preserve">Информацията </w:t>
            </w:r>
            <w:r w:rsidR="00B76D40" w:rsidRPr="00A57F85">
              <w:rPr>
                <w:color w:val="000000"/>
                <w:lang w:bidi="bg-BG"/>
              </w:rPr>
              <w:t>за възложител</w:t>
            </w:r>
            <w:r w:rsidR="004C5141" w:rsidRPr="00A57F85">
              <w:rPr>
                <w:color w:val="000000"/>
                <w:lang w:bidi="bg-BG"/>
              </w:rPr>
              <w:t>я следва</w:t>
            </w:r>
            <w:r w:rsidR="00B76D40" w:rsidRPr="00A57F85">
              <w:rPr>
                <w:color w:val="000000"/>
                <w:lang w:bidi="bg-BG"/>
              </w:rPr>
              <w:t xml:space="preserve"> да бъде идентична с тази в приетите с Постановление на Министерския съвет № 172 от 11 юли 2019 г. за изменение и допълнение на Наредбата за административното обслужване образци на заявления за услуги</w:t>
            </w:r>
            <w:r w:rsidRPr="00A57F85">
              <w:rPr>
                <w:color w:val="000000"/>
                <w:lang w:bidi="bg-BG"/>
              </w:rPr>
              <w:t>.</w:t>
            </w:r>
          </w:p>
        </w:tc>
      </w:tr>
      <w:tr w:rsidR="008B4B31" w:rsidRPr="00122816" w:rsidTr="0047211F">
        <w:trPr>
          <w:jc w:val="center"/>
        </w:trPr>
        <w:tc>
          <w:tcPr>
            <w:tcW w:w="578" w:type="dxa"/>
            <w:shd w:val="clear" w:color="auto" w:fill="auto"/>
          </w:tcPr>
          <w:p w:rsidR="002942E3" w:rsidRPr="00122816" w:rsidRDefault="002942E3" w:rsidP="00122816">
            <w:pPr>
              <w:jc w:val="center"/>
              <w:rPr>
                <w:color w:val="000000"/>
              </w:rPr>
            </w:pPr>
            <w:r w:rsidRPr="00122816">
              <w:rPr>
                <w:color w:val="000000"/>
              </w:rPr>
              <w:t>10.</w:t>
            </w:r>
          </w:p>
        </w:tc>
        <w:tc>
          <w:tcPr>
            <w:tcW w:w="1768" w:type="dxa"/>
            <w:shd w:val="clear" w:color="auto" w:fill="auto"/>
          </w:tcPr>
          <w:p w:rsidR="002942E3" w:rsidRPr="00122816" w:rsidRDefault="0014214A" w:rsidP="00122816">
            <w:pPr>
              <w:jc w:val="both"/>
              <w:rPr>
                <w:color w:val="000000"/>
              </w:rPr>
            </w:pPr>
            <w:r w:rsidRPr="00122816">
              <w:rPr>
                <w:color w:val="000000"/>
              </w:rPr>
              <w:t xml:space="preserve">Камара на строителите в </w:t>
            </w:r>
            <w:r w:rsidRPr="00122816">
              <w:rPr>
                <w:color w:val="000000"/>
              </w:rPr>
              <w:lastRenderedPageBreak/>
              <w:t>България (КСБ)</w:t>
            </w:r>
          </w:p>
        </w:tc>
        <w:tc>
          <w:tcPr>
            <w:tcW w:w="3118" w:type="dxa"/>
            <w:shd w:val="clear" w:color="auto" w:fill="auto"/>
          </w:tcPr>
          <w:p w:rsidR="0014214A" w:rsidRPr="00122816" w:rsidRDefault="0014214A" w:rsidP="00122816">
            <w:pPr>
              <w:pStyle w:val="20"/>
              <w:shd w:val="clear" w:color="auto" w:fill="auto"/>
              <w:spacing w:before="0" w:line="240" w:lineRule="auto"/>
              <w:rPr>
                <w:sz w:val="24"/>
                <w:szCs w:val="24"/>
              </w:rPr>
            </w:pPr>
            <w:r w:rsidRPr="00122816">
              <w:rPr>
                <w:rStyle w:val="21"/>
              </w:rPr>
              <w:lastRenderedPageBreak/>
              <w:t xml:space="preserve">Не съгласува предложените по-високи </w:t>
            </w:r>
            <w:r w:rsidRPr="00122816">
              <w:rPr>
                <w:rStyle w:val="21"/>
              </w:rPr>
              <w:lastRenderedPageBreak/>
              <w:t xml:space="preserve">минимални гаранционни срокове </w:t>
            </w:r>
            <w:r w:rsidRPr="00122816">
              <w:rPr>
                <w:sz w:val="24"/>
                <w:szCs w:val="24"/>
              </w:rPr>
              <w:t xml:space="preserve">за изпълнени строителни и монтажни работи, съоръжения и строителни обекти, тъй като </w:t>
            </w:r>
            <w:r w:rsidRPr="00122816">
              <w:rPr>
                <w:rStyle w:val="21"/>
              </w:rPr>
              <w:t xml:space="preserve">не съответстват на обективната действителност и на европейската практика в тази насока, и биха създали условия за неравнопоставеност на компаниите на строителния пазар. </w:t>
            </w:r>
            <w:r w:rsidRPr="00122816">
              <w:rPr>
                <w:sz w:val="24"/>
                <w:szCs w:val="24"/>
              </w:rPr>
              <w:t>В останалата част от проекта на наредба подкрепя основните промени за изменение и допълнение на Наредба № 2 от 2003 г., имащи за цел привеждане на нейните разпоредби в съответствие с измененията и допълненията на Закона за устройство на територията (ЗУТ) и изпълнение на Решение № 704 на Министерския съвет от 2018 г. за приемане на мерки за трансформация на модела на административно обслужване.</w:t>
            </w:r>
          </w:p>
          <w:p w:rsidR="002942E3" w:rsidRPr="00122816" w:rsidRDefault="0014214A" w:rsidP="00122816">
            <w:pPr>
              <w:jc w:val="both"/>
            </w:pPr>
            <w:r w:rsidRPr="00122816">
              <w:rPr>
                <w:rStyle w:val="4"/>
              </w:rPr>
              <w:t xml:space="preserve">Основен проблем пред строителите е предвиденото </w:t>
            </w:r>
            <w:r w:rsidRPr="00122816">
              <w:rPr>
                <w:rStyle w:val="4"/>
              </w:rPr>
              <w:lastRenderedPageBreak/>
              <w:t xml:space="preserve">увеличаване на минималните гаранционни срокове за изпълнени строителни и монтажни работи, съоръжения и строителни обекти. Смятаме, че </w:t>
            </w:r>
            <w:r w:rsidRPr="00122816">
              <w:t>преди механичното увеличаване гаранционните срокове е целесъобразно да се направи предварителен анализ на разходите за осигуряване на предвидените гаранционни срокове, в т.ч. европейските практики и заложените критерии за подобряване на качеството и дълготрайността на обекта.</w:t>
            </w:r>
          </w:p>
          <w:p w:rsidR="001840D1" w:rsidRPr="00122816" w:rsidRDefault="001840D1" w:rsidP="00122816">
            <w:pPr>
              <w:jc w:val="both"/>
              <w:rPr>
                <w:color w:val="000000"/>
                <w:lang w:val="en"/>
              </w:rPr>
            </w:pPr>
            <w:r w:rsidRPr="00122816">
              <w:t>Предлагаме увеличаването на гаранционните срокове да се извърши на по-късен етап след задълбочен анализ на европейската практика и промяна на философията при определяне на нормативните изисквания към гаранционните срокове и договори.</w:t>
            </w:r>
          </w:p>
        </w:tc>
        <w:tc>
          <w:tcPr>
            <w:tcW w:w="1985" w:type="dxa"/>
            <w:shd w:val="clear" w:color="auto" w:fill="auto"/>
          </w:tcPr>
          <w:p w:rsidR="002942E3" w:rsidRPr="00A435EE" w:rsidRDefault="00A435EE" w:rsidP="00122816">
            <w:pPr>
              <w:jc w:val="both"/>
              <w:rPr>
                <w:color w:val="000000"/>
              </w:rPr>
            </w:pPr>
            <w:r>
              <w:rPr>
                <w:color w:val="000000"/>
              </w:rPr>
              <w:lastRenderedPageBreak/>
              <w:t>Не се приема</w:t>
            </w:r>
          </w:p>
        </w:tc>
        <w:tc>
          <w:tcPr>
            <w:tcW w:w="4394" w:type="dxa"/>
            <w:shd w:val="clear" w:color="auto" w:fill="auto"/>
          </w:tcPr>
          <w:p w:rsidR="0014214A" w:rsidRPr="00122816" w:rsidRDefault="0014214A" w:rsidP="00122816">
            <w:pPr>
              <w:pStyle w:val="20"/>
              <w:shd w:val="clear" w:color="auto" w:fill="auto"/>
              <w:spacing w:before="0" w:line="240" w:lineRule="auto"/>
              <w:rPr>
                <w:sz w:val="24"/>
                <w:szCs w:val="24"/>
              </w:rPr>
            </w:pPr>
            <w:r w:rsidRPr="00122816">
              <w:rPr>
                <w:sz w:val="24"/>
                <w:szCs w:val="24"/>
              </w:rPr>
              <w:t xml:space="preserve">От началото на този век в европейските страни, а и в международен аспект се </w:t>
            </w:r>
            <w:r w:rsidRPr="00122816">
              <w:rPr>
                <w:sz w:val="24"/>
                <w:szCs w:val="24"/>
              </w:rPr>
              <w:lastRenderedPageBreak/>
              <w:t xml:space="preserve">експериментират и прилагат нови видове гаранционни периоди предимно за инфраструктурни обекти, обвързани с гаранционни договори, като в тях се залагат иновационни изисквания към влаганите строителни продукти, технологиите за изпълнение, както и към поддържането. В тези случаи гаранционните </w:t>
            </w:r>
            <w:r w:rsidR="0077381C" w:rsidRPr="00122816">
              <w:rPr>
                <w:sz w:val="24"/>
                <w:szCs w:val="24"/>
              </w:rPr>
              <w:t>периоди</w:t>
            </w:r>
            <w:r w:rsidRPr="00122816">
              <w:rPr>
                <w:sz w:val="24"/>
                <w:szCs w:val="24"/>
              </w:rPr>
              <w:t xml:space="preserve"> могат да бъдат увеличени и до 20 и повече години.</w:t>
            </w:r>
          </w:p>
          <w:p w:rsidR="0014214A" w:rsidRPr="00122816" w:rsidRDefault="0014214A" w:rsidP="00122816">
            <w:pPr>
              <w:pStyle w:val="20"/>
              <w:shd w:val="clear" w:color="auto" w:fill="auto"/>
              <w:spacing w:before="0" w:line="240" w:lineRule="auto"/>
              <w:rPr>
                <w:sz w:val="24"/>
                <w:szCs w:val="24"/>
              </w:rPr>
            </w:pPr>
            <w:r w:rsidRPr="00122816">
              <w:rPr>
                <w:sz w:val="24"/>
                <w:szCs w:val="24"/>
              </w:rPr>
              <w:t xml:space="preserve">Европейските държави развиват и прилагат гаранционни системи за изпълнение на строителство чрез партньорство, насочено към потребителя между правителството и строителната индустрия, като основните елементи на гаранцията са възлагане на най-добра стойност и предварителната квалификация на участниците. Най-общо гаранционните срокове са краткосрочни (от 2 до 7 г.) и дългосрочни (включват проектиране, строителство и планирана поддръжка). Основните европейски и международни схеми са гаранции за материали и изработка (краткосрочни); разширени гаранции за изпълнение ( дългосрочни; изпълнителят трябва да притежава компетенции и да отговаря за проектирането, изграждането, и поддържането на съответния вид СМР с иновационни материали и технологии); дългосрочни гаранционни договори при поръчки с най-добра стойност </w:t>
            </w:r>
            <w:r w:rsidRPr="00122816">
              <w:rPr>
                <w:sz w:val="24"/>
                <w:szCs w:val="24"/>
              </w:rPr>
              <w:lastRenderedPageBreak/>
              <w:t>(критериите включват безопасност, иновации и опазване на околната среда); дългосрочни гаранционни договори за проектиране-изграждане-финансиране - експлоатация и др. схеми.</w:t>
            </w:r>
          </w:p>
          <w:p w:rsidR="002942E3" w:rsidRPr="00122816" w:rsidRDefault="0014214A" w:rsidP="00122816">
            <w:pPr>
              <w:pStyle w:val="41"/>
              <w:shd w:val="clear" w:color="auto" w:fill="auto"/>
              <w:spacing w:after="60" w:line="240" w:lineRule="auto"/>
              <w:rPr>
                <w:sz w:val="24"/>
                <w:szCs w:val="24"/>
              </w:rPr>
            </w:pPr>
            <w:r w:rsidRPr="00122816">
              <w:rPr>
                <w:rStyle w:val="4"/>
              </w:rPr>
              <w:t xml:space="preserve">Основният извод от прегледа на европейската практика е, че въвеждането на иновационни изисквания към материалите и технологиите на изпълнение, водещи до по-високо качество на строителството е </w:t>
            </w:r>
            <w:r w:rsidRPr="00122816">
              <w:rPr>
                <w:sz w:val="24"/>
                <w:szCs w:val="24"/>
              </w:rPr>
              <w:t>възлагането на обществените поръчки да се извършва по критерий „Икономически най-изгодна оферта”, вместо по най-ниска цена. Само при тези условия и включена поддръжка на завършения строеж е възможно увеличаване на срока на гаранционния период до проектния експлоатационен срок (жизнения цикъл) на конкретния с</w:t>
            </w:r>
            <w:r w:rsidR="00A50E4F">
              <w:rPr>
                <w:sz w:val="24"/>
                <w:szCs w:val="24"/>
              </w:rPr>
              <w:t>т</w:t>
            </w:r>
            <w:r w:rsidRPr="00122816">
              <w:rPr>
                <w:sz w:val="24"/>
                <w:szCs w:val="24"/>
              </w:rPr>
              <w:t xml:space="preserve">роеж или част от него. </w:t>
            </w:r>
            <w:r w:rsidRPr="00122816">
              <w:rPr>
                <w:rStyle w:val="4"/>
              </w:rPr>
              <w:t>(допълнителни мотиви и примери от строителната практика са дадени от членове на КСБ в приложение към писмото).</w:t>
            </w:r>
          </w:p>
        </w:tc>
        <w:tc>
          <w:tcPr>
            <w:tcW w:w="3730" w:type="dxa"/>
            <w:shd w:val="clear" w:color="auto" w:fill="auto"/>
          </w:tcPr>
          <w:p w:rsidR="005C6139" w:rsidRPr="0077381C" w:rsidRDefault="00CE7AF8" w:rsidP="0077381C">
            <w:pPr>
              <w:pStyle w:val="20"/>
              <w:shd w:val="clear" w:color="auto" w:fill="auto"/>
              <w:spacing w:before="0" w:line="240" w:lineRule="auto"/>
              <w:rPr>
                <w:sz w:val="24"/>
                <w:szCs w:val="24"/>
              </w:rPr>
            </w:pPr>
            <w:r w:rsidRPr="0077381C">
              <w:rPr>
                <w:sz w:val="24"/>
                <w:szCs w:val="24"/>
              </w:rPr>
              <w:lastRenderedPageBreak/>
              <w:t xml:space="preserve">Във връзка с навлизането през последните години на нови </w:t>
            </w:r>
            <w:r w:rsidRPr="0077381C">
              <w:rPr>
                <w:sz w:val="24"/>
                <w:szCs w:val="24"/>
              </w:rPr>
              <w:lastRenderedPageBreak/>
              <w:t xml:space="preserve">технологии при изработването на строителните продукти, които допринесоха за тяхното по-високо качество и повишиха дълготрайността при влагането им в строителството, с проекта на наредба е предвидено изменение на минималните гаранционни срокове за изпълнени строителни и монтажни работи, </w:t>
            </w:r>
            <w:r w:rsidR="0077381C" w:rsidRPr="0077381C">
              <w:rPr>
                <w:sz w:val="24"/>
                <w:szCs w:val="24"/>
              </w:rPr>
              <w:t xml:space="preserve">съоръжения и строителни </w:t>
            </w:r>
            <w:r w:rsidRPr="0077381C">
              <w:rPr>
                <w:sz w:val="24"/>
                <w:szCs w:val="24"/>
              </w:rPr>
              <w:t>обекти, регламен</w:t>
            </w:r>
            <w:r w:rsidR="005C6139" w:rsidRPr="0077381C">
              <w:rPr>
                <w:sz w:val="24"/>
                <w:szCs w:val="24"/>
              </w:rPr>
              <w:t>тирани с Наредба № 2 от 2003 г., които не са променяни от влизането в сила на наредбата през 2003 г.</w:t>
            </w:r>
          </w:p>
          <w:p w:rsidR="00CE7AF8" w:rsidRPr="00CE7AF8" w:rsidRDefault="00CE7AF8" w:rsidP="00CE7AF8">
            <w:pPr>
              <w:spacing w:line="360" w:lineRule="auto"/>
              <w:ind w:firstLine="709"/>
              <w:jc w:val="both"/>
            </w:pPr>
          </w:p>
          <w:p w:rsidR="00CE7AF8" w:rsidRPr="0077381C" w:rsidRDefault="00CE7AF8" w:rsidP="0077381C">
            <w:pPr>
              <w:pStyle w:val="20"/>
              <w:shd w:val="clear" w:color="auto" w:fill="auto"/>
              <w:spacing w:before="0" w:line="240" w:lineRule="auto"/>
              <w:rPr>
                <w:sz w:val="24"/>
                <w:szCs w:val="24"/>
              </w:rPr>
            </w:pPr>
            <w:r w:rsidRPr="0077381C">
              <w:rPr>
                <w:sz w:val="24"/>
                <w:szCs w:val="24"/>
              </w:rPr>
              <w:t>Целта на това изменение е осигуряване на нормалното функциониране и ползване на завършените строителни обекти, включително обектите на транспортната техническа инфраструктура и отстраняване на скритите дефекти след приемането им, посредством</w:t>
            </w:r>
            <w:r w:rsidR="00A50E4F">
              <w:rPr>
                <w:sz w:val="24"/>
                <w:szCs w:val="24"/>
              </w:rPr>
              <w:t xml:space="preserve"> минимално </w:t>
            </w:r>
            <w:r w:rsidRPr="0077381C">
              <w:rPr>
                <w:sz w:val="24"/>
                <w:szCs w:val="24"/>
              </w:rPr>
              <w:t xml:space="preserve"> увеличаване на минималните гаранционни срокове, гарантиращи безопасното използване на строежите след въвеждането им в експлоатация.</w:t>
            </w:r>
          </w:p>
          <w:p w:rsidR="00CE7AF8" w:rsidRPr="0077381C" w:rsidRDefault="00CE7AF8" w:rsidP="0077381C">
            <w:pPr>
              <w:pStyle w:val="20"/>
              <w:shd w:val="clear" w:color="auto" w:fill="auto"/>
              <w:spacing w:before="0" w:line="240" w:lineRule="auto"/>
              <w:rPr>
                <w:sz w:val="24"/>
                <w:szCs w:val="24"/>
              </w:rPr>
            </w:pPr>
            <w:r w:rsidRPr="0077381C">
              <w:rPr>
                <w:sz w:val="24"/>
                <w:szCs w:val="24"/>
              </w:rPr>
              <w:t xml:space="preserve">Завишаването на минималните гаранционни срокове ще доведе </w:t>
            </w:r>
            <w:r w:rsidRPr="0077381C">
              <w:rPr>
                <w:sz w:val="24"/>
                <w:szCs w:val="24"/>
              </w:rPr>
              <w:lastRenderedPageBreak/>
              <w:t xml:space="preserve">до по-стриктно изпълнение на задълженията от страна на строителите и лицата, упражняващи строителен надзор за изпълнението на строежите в съответствие с издадените строителни книжа и с изискванията на чл. 169, ал. 1 и 3 от ЗУТ, както и с правилата за изпълнение на строителните и монтажните работи и с материали, изделия, продукти и други в съответствие с основните изисквания към строежите, и за спазване на технологичните изисквания за влагането им. </w:t>
            </w:r>
          </w:p>
          <w:p w:rsidR="00CE7AF8" w:rsidRPr="0077381C" w:rsidRDefault="00A50E4F" w:rsidP="0077381C">
            <w:pPr>
              <w:pStyle w:val="20"/>
              <w:shd w:val="clear" w:color="auto" w:fill="auto"/>
              <w:spacing w:before="0" w:line="240" w:lineRule="auto"/>
              <w:rPr>
                <w:sz w:val="24"/>
                <w:szCs w:val="24"/>
              </w:rPr>
            </w:pPr>
            <w:r>
              <w:rPr>
                <w:sz w:val="24"/>
                <w:szCs w:val="24"/>
              </w:rPr>
              <w:t xml:space="preserve">      </w:t>
            </w:r>
            <w:r w:rsidR="00CE7AF8" w:rsidRPr="0077381C">
              <w:rPr>
                <w:sz w:val="24"/>
                <w:szCs w:val="24"/>
              </w:rPr>
              <w:t>То</w:t>
            </w:r>
            <w:r>
              <w:rPr>
                <w:sz w:val="24"/>
                <w:szCs w:val="24"/>
              </w:rPr>
              <w:t xml:space="preserve">ва може да бъде постигнато чрез </w:t>
            </w:r>
            <w:r w:rsidR="00CE7AF8" w:rsidRPr="0077381C">
              <w:rPr>
                <w:sz w:val="24"/>
                <w:szCs w:val="24"/>
              </w:rPr>
              <w:t>актуализиране, усъвършенстване и прецизиране на действащите разпоредби на наредбата.</w:t>
            </w:r>
          </w:p>
          <w:p w:rsidR="002942E3" w:rsidRPr="00122816" w:rsidRDefault="002942E3" w:rsidP="00122816">
            <w:pPr>
              <w:jc w:val="both"/>
              <w:rPr>
                <w:color w:val="000000"/>
                <w:lang w:val="en"/>
              </w:rPr>
            </w:pPr>
          </w:p>
        </w:tc>
      </w:tr>
      <w:tr w:rsidR="008B4B31" w:rsidRPr="00122816" w:rsidTr="0047211F">
        <w:trPr>
          <w:jc w:val="center"/>
        </w:trPr>
        <w:tc>
          <w:tcPr>
            <w:tcW w:w="578" w:type="dxa"/>
            <w:shd w:val="clear" w:color="auto" w:fill="auto"/>
          </w:tcPr>
          <w:p w:rsidR="0060288A" w:rsidRPr="00122816" w:rsidRDefault="000D64FD" w:rsidP="00122816">
            <w:pPr>
              <w:jc w:val="center"/>
              <w:rPr>
                <w:color w:val="000000"/>
              </w:rPr>
            </w:pPr>
            <w:r w:rsidRPr="00122816">
              <w:rPr>
                <w:color w:val="000000"/>
              </w:rPr>
              <w:lastRenderedPageBreak/>
              <w:t>11.</w:t>
            </w:r>
          </w:p>
        </w:tc>
        <w:tc>
          <w:tcPr>
            <w:tcW w:w="1768" w:type="dxa"/>
            <w:shd w:val="clear" w:color="auto" w:fill="auto"/>
          </w:tcPr>
          <w:p w:rsidR="0060288A" w:rsidRPr="00122816" w:rsidRDefault="000D64FD" w:rsidP="00122816">
            <w:pPr>
              <w:jc w:val="both"/>
              <w:rPr>
                <w:color w:val="000000"/>
              </w:rPr>
            </w:pPr>
            <w:r w:rsidRPr="00122816">
              <w:rPr>
                <w:color w:val="000000"/>
              </w:rPr>
              <w:t>КСБ</w:t>
            </w:r>
          </w:p>
        </w:tc>
        <w:tc>
          <w:tcPr>
            <w:tcW w:w="3118" w:type="dxa"/>
            <w:shd w:val="clear" w:color="auto" w:fill="auto"/>
          </w:tcPr>
          <w:p w:rsidR="00BB28E2" w:rsidRPr="00122816" w:rsidRDefault="00BB28E2" w:rsidP="00122816">
            <w:pPr>
              <w:pStyle w:val="20"/>
              <w:shd w:val="clear" w:color="auto" w:fill="auto"/>
              <w:spacing w:before="0" w:line="240" w:lineRule="auto"/>
              <w:rPr>
                <w:sz w:val="24"/>
                <w:szCs w:val="24"/>
              </w:rPr>
            </w:pPr>
            <w:r w:rsidRPr="00122816">
              <w:rPr>
                <w:sz w:val="24"/>
                <w:szCs w:val="24"/>
              </w:rPr>
              <w:t xml:space="preserve">С оглед съкращаване на времетраенето на процедурата по приемане и въвеждане на строежите в експлоатация и осигуряване </w:t>
            </w:r>
            <w:r w:rsidRPr="00122816">
              <w:rPr>
                <w:sz w:val="24"/>
                <w:szCs w:val="24"/>
              </w:rPr>
              <w:lastRenderedPageBreak/>
              <w:t>на условия за нормално функциониране и ползване на завършените строителни обекти бихме искали да предложим и други изменения и допълнения в проекта на наредбата.</w:t>
            </w:r>
          </w:p>
          <w:p w:rsidR="00BB28E2" w:rsidRPr="00122816" w:rsidRDefault="00BB28E2" w:rsidP="00122816">
            <w:pPr>
              <w:pStyle w:val="20"/>
              <w:shd w:val="clear" w:color="auto" w:fill="auto"/>
              <w:spacing w:before="0" w:line="240" w:lineRule="auto"/>
              <w:rPr>
                <w:sz w:val="24"/>
                <w:szCs w:val="24"/>
              </w:rPr>
            </w:pPr>
            <w:r w:rsidRPr="00122816">
              <w:rPr>
                <w:sz w:val="24"/>
                <w:szCs w:val="24"/>
              </w:rPr>
              <w:t xml:space="preserve">Съгласно чл. 20, ал. 3 от действащата наредба гаранционните срокове започват да текат от деня на въвеждането на строителния обект в експлоатация (издаване на разрешение за ползване или удостоверение за въвеждане в експлоатация. </w:t>
            </w:r>
            <w:r w:rsidRPr="00122816">
              <w:rPr>
                <w:rStyle w:val="21"/>
              </w:rPr>
              <w:t xml:space="preserve">Предложението на </w:t>
            </w:r>
            <w:r w:rsidRPr="00122816">
              <w:rPr>
                <w:sz w:val="24"/>
                <w:szCs w:val="24"/>
              </w:rPr>
              <w:t xml:space="preserve">КСБ </w:t>
            </w:r>
            <w:r w:rsidRPr="00122816">
              <w:rPr>
                <w:rStyle w:val="21"/>
              </w:rPr>
              <w:t xml:space="preserve">е гаранционните срокове на изпълнените строежи да започват да текат след подписване на констативен акт 15 </w:t>
            </w:r>
            <w:r w:rsidRPr="00122816">
              <w:rPr>
                <w:sz w:val="24"/>
                <w:szCs w:val="24"/>
              </w:rPr>
              <w:t>и по- конкретно чл. 20, ал. 3 да придобие следната редакция:</w:t>
            </w:r>
          </w:p>
          <w:p w:rsidR="00BB28E2" w:rsidRPr="00122816" w:rsidRDefault="00BB28E2" w:rsidP="00122816">
            <w:pPr>
              <w:pStyle w:val="20"/>
              <w:shd w:val="clear" w:color="auto" w:fill="auto"/>
              <w:spacing w:before="0" w:line="240" w:lineRule="auto"/>
              <w:rPr>
                <w:sz w:val="24"/>
                <w:szCs w:val="24"/>
              </w:rPr>
            </w:pPr>
            <w:r w:rsidRPr="00122816">
              <w:rPr>
                <w:sz w:val="24"/>
                <w:szCs w:val="24"/>
              </w:rPr>
              <w:t>„Чл. 20 (3) Гаранционните срокове започват да текат от деня на подписване без възражения на констативен акт по чл. 176, ал. 1 ЗУТ за установяване годността за приемане на строежа</w:t>
            </w:r>
            <w:r w:rsidRPr="00122816">
              <w:rPr>
                <w:sz w:val="24"/>
                <w:szCs w:val="24"/>
              </w:rPr>
              <w:br w:type="page"/>
            </w:r>
          </w:p>
          <w:p w:rsidR="0060288A" w:rsidRPr="00122816" w:rsidRDefault="00BB28E2" w:rsidP="00122816">
            <w:pPr>
              <w:pStyle w:val="20"/>
              <w:shd w:val="clear" w:color="auto" w:fill="auto"/>
              <w:spacing w:before="0" w:line="240" w:lineRule="auto"/>
              <w:jc w:val="left"/>
              <w:rPr>
                <w:sz w:val="24"/>
                <w:szCs w:val="24"/>
              </w:rPr>
            </w:pPr>
            <w:r w:rsidRPr="00122816">
              <w:rPr>
                <w:sz w:val="24"/>
                <w:szCs w:val="24"/>
              </w:rPr>
              <w:t xml:space="preserve">(протокол образец № 15 от </w:t>
            </w:r>
            <w:r w:rsidRPr="00122816">
              <w:rPr>
                <w:sz w:val="24"/>
                <w:szCs w:val="24"/>
              </w:rPr>
              <w:lastRenderedPageBreak/>
              <w:t>Наредба № 3 от 2003 г. за съставяне на актове и протоколи по време на строителството)</w:t>
            </w:r>
          </w:p>
        </w:tc>
        <w:tc>
          <w:tcPr>
            <w:tcW w:w="1985" w:type="dxa"/>
            <w:shd w:val="clear" w:color="auto" w:fill="auto"/>
          </w:tcPr>
          <w:p w:rsidR="0060288A" w:rsidRPr="00CE7AF8" w:rsidRDefault="00A50E4F" w:rsidP="00122816">
            <w:pPr>
              <w:jc w:val="both"/>
              <w:rPr>
                <w:color w:val="000000"/>
              </w:rPr>
            </w:pPr>
            <w:r>
              <w:rPr>
                <w:color w:val="000000"/>
              </w:rPr>
              <w:lastRenderedPageBreak/>
              <w:t>н</w:t>
            </w:r>
            <w:r w:rsidR="00CE7AF8">
              <w:rPr>
                <w:color w:val="000000"/>
              </w:rPr>
              <w:t>е се приема</w:t>
            </w:r>
          </w:p>
        </w:tc>
        <w:tc>
          <w:tcPr>
            <w:tcW w:w="4394" w:type="dxa"/>
            <w:shd w:val="clear" w:color="auto" w:fill="auto"/>
          </w:tcPr>
          <w:p w:rsidR="0060288A" w:rsidRPr="00122816" w:rsidRDefault="001840D1" w:rsidP="00122816">
            <w:pPr>
              <w:jc w:val="both"/>
              <w:rPr>
                <w:color w:val="000000"/>
                <w:lang w:val="en"/>
              </w:rPr>
            </w:pPr>
            <w:r w:rsidRPr="00122816">
              <w:t xml:space="preserve">С подписване на протокол 15 се установява, че строежа е изпълнен съгласно оценените инвестиционни проекти и предадената екзекутивна документация, спазени са изискванията </w:t>
            </w:r>
            <w:r w:rsidRPr="00122816">
              <w:lastRenderedPageBreak/>
              <w:t>към строежите по чл. 169 от Закона за устройство на територията и условията на договора и е напълно завършен и годен за приемане. Също основание за това предложение е, че с подписване на протокол обр. 15 се извършва предаване на строежа от строителя на възложителя и ако няма забележки за констатирани недостатъци по изпълнените строително и монтажните работи, могат да започнат да текат гаранционните срокове, определени по договора за строителство.(примери от строителната практика са дадени от членове на КСБ в приложение към писмото).</w:t>
            </w:r>
          </w:p>
        </w:tc>
        <w:tc>
          <w:tcPr>
            <w:tcW w:w="3730" w:type="dxa"/>
            <w:shd w:val="clear" w:color="auto" w:fill="auto"/>
          </w:tcPr>
          <w:p w:rsidR="0060288A" w:rsidRDefault="00CE7AF8" w:rsidP="00CE7AF8">
            <w:pPr>
              <w:jc w:val="both"/>
              <w:rPr>
                <w:color w:val="000000"/>
              </w:rPr>
            </w:pPr>
            <w:r>
              <w:rPr>
                <w:color w:val="000000"/>
              </w:rPr>
              <w:lastRenderedPageBreak/>
              <w:t>Предложението противоречи на чл.160, ал.5 от ЗУТ „</w:t>
            </w:r>
            <w:proofErr w:type="spellStart"/>
            <w:r>
              <w:rPr>
                <w:color w:val="000000"/>
                <w:lang w:val="en"/>
              </w:rPr>
              <w:t>Гаранционните</w:t>
            </w:r>
            <w:proofErr w:type="spellEnd"/>
            <w:r>
              <w:rPr>
                <w:color w:val="000000"/>
                <w:lang w:val="en"/>
              </w:rPr>
              <w:t xml:space="preserve"> </w:t>
            </w:r>
            <w:proofErr w:type="spellStart"/>
            <w:r>
              <w:rPr>
                <w:color w:val="000000"/>
                <w:lang w:val="en"/>
              </w:rPr>
              <w:t>срокове</w:t>
            </w:r>
            <w:proofErr w:type="spellEnd"/>
            <w:r>
              <w:rPr>
                <w:color w:val="000000"/>
                <w:lang w:val="en"/>
              </w:rPr>
              <w:t xml:space="preserve"> </w:t>
            </w:r>
            <w:proofErr w:type="spellStart"/>
            <w:r>
              <w:rPr>
                <w:color w:val="000000"/>
                <w:lang w:val="en"/>
              </w:rPr>
              <w:t>текат</w:t>
            </w:r>
            <w:proofErr w:type="spellEnd"/>
            <w:r>
              <w:rPr>
                <w:color w:val="000000"/>
                <w:lang w:val="en"/>
              </w:rPr>
              <w:t xml:space="preserve"> </w:t>
            </w:r>
            <w:proofErr w:type="spellStart"/>
            <w:r>
              <w:rPr>
                <w:color w:val="000000"/>
                <w:lang w:val="en"/>
              </w:rPr>
              <w:t>от</w:t>
            </w:r>
            <w:proofErr w:type="spellEnd"/>
            <w:r>
              <w:rPr>
                <w:color w:val="000000"/>
                <w:lang w:val="en"/>
              </w:rPr>
              <w:t xml:space="preserve"> </w:t>
            </w:r>
            <w:proofErr w:type="spellStart"/>
            <w:r>
              <w:rPr>
                <w:color w:val="000000"/>
                <w:lang w:val="en"/>
              </w:rPr>
              <w:t>деня</w:t>
            </w:r>
            <w:proofErr w:type="spellEnd"/>
            <w:r>
              <w:rPr>
                <w:color w:val="000000"/>
                <w:lang w:val="en"/>
              </w:rPr>
              <w:t xml:space="preserve"> </w:t>
            </w:r>
            <w:proofErr w:type="spellStart"/>
            <w:r>
              <w:rPr>
                <w:color w:val="000000"/>
                <w:lang w:val="en"/>
              </w:rPr>
              <w:t>на</w:t>
            </w:r>
            <w:proofErr w:type="spellEnd"/>
            <w:r>
              <w:rPr>
                <w:color w:val="000000"/>
                <w:lang w:val="en"/>
              </w:rPr>
              <w:t xml:space="preserve"> </w:t>
            </w:r>
            <w:proofErr w:type="spellStart"/>
            <w:r>
              <w:rPr>
                <w:color w:val="000000"/>
                <w:lang w:val="en"/>
              </w:rPr>
              <w:t>въвеждане</w:t>
            </w:r>
            <w:proofErr w:type="spellEnd"/>
            <w:r>
              <w:rPr>
                <w:color w:val="000000"/>
                <w:lang w:val="en"/>
              </w:rPr>
              <w:t xml:space="preserve"> </w:t>
            </w:r>
            <w:proofErr w:type="spellStart"/>
            <w:r>
              <w:rPr>
                <w:color w:val="000000"/>
                <w:lang w:val="en"/>
              </w:rPr>
              <w:t>на</w:t>
            </w:r>
            <w:proofErr w:type="spellEnd"/>
            <w:r>
              <w:rPr>
                <w:color w:val="000000"/>
                <w:lang w:val="en"/>
              </w:rPr>
              <w:t xml:space="preserve"> </w:t>
            </w:r>
            <w:proofErr w:type="spellStart"/>
            <w:r>
              <w:rPr>
                <w:color w:val="000000"/>
                <w:lang w:val="en"/>
              </w:rPr>
              <w:t>строителния</w:t>
            </w:r>
            <w:proofErr w:type="spellEnd"/>
            <w:r>
              <w:rPr>
                <w:color w:val="000000"/>
                <w:lang w:val="en"/>
              </w:rPr>
              <w:t xml:space="preserve"> </w:t>
            </w:r>
            <w:proofErr w:type="spellStart"/>
            <w:r>
              <w:rPr>
                <w:color w:val="000000"/>
                <w:lang w:val="en"/>
              </w:rPr>
              <w:t>обект</w:t>
            </w:r>
            <w:proofErr w:type="spellEnd"/>
            <w:r>
              <w:rPr>
                <w:color w:val="000000"/>
                <w:lang w:val="en"/>
              </w:rPr>
              <w:t xml:space="preserve"> в </w:t>
            </w:r>
            <w:proofErr w:type="spellStart"/>
            <w:r>
              <w:rPr>
                <w:color w:val="000000"/>
                <w:lang w:val="en"/>
              </w:rPr>
              <w:t>експлоатация</w:t>
            </w:r>
            <w:proofErr w:type="spellEnd"/>
            <w:r>
              <w:rPr>
                <w:color w:val="000000"/>
              </w:rPr>
              <w:t>“</w:t>
            </w:r>
            <w:r w:rsidR="0061279E">
              <w:rPr>
                <w:color w:val="000000"/>
              </w:rPr>
              <w:t>.</w:t>
            </w:r>
            <w:r>
              <w:rPr>
                <w:color w:val="000000"/>
              </w:rPr>
              <w:t xml:space="preserve"> </w:t>
            </w:r>
          </w:p>
          <w:p w:rsidR="00956F9C" w:rsidRPr="00CE7AF8" w:rsidRDefault="00A50E4F" w:rsidP="00A50E4F">
            <w:pPr>
              <w:jc w:val="both"/>
              <w:rPr>
                <w:color w:val="000000"/>
              </w:rPr>
            </w:pPr>
            <w:r>
              <w:rPr>
                <w:color w:val="000000"/>
              </w:rPr>
              <w:lastRenderedPageBreak/>
              <w:t xml:space="preserve">Предложението </w:t>
            </w:r>
            <w:r w:rsidR="00956F9C">
              <w:rPr>
                <w:color w:val="000000"/>
              </w:rPr>
              <w:t>може да бъде прието след реализиране на законодателна промяна в ЗУТ.</w:t>
            </w:r>
          </w:p>
        </w:tc>
      </w:tr>
      <w:tr w:rsidR="008B4B31" w:rsidRPr="00122816" w:rsidTr="0047211F">
        <w:trPr>
          <w:jc w:val="center"/>
        </w:trPr>
        <w:tc>
          <w:tcPr>
            <w:tcW w:w="578" w:type="dxa"/>
            <w:shd w:val="clear" w:color="auto" w:fill="auto"/>
          </w:tcPr>
          <w:p w:rsidR="0060288A" w:rsidRPr="00122816" w:rsidRDefault="00BB28E2" w:rsidP="00122816">
            <w:pPr>
              <w:jc w:val="center"/>
              <w:rPr>
                <w:color w:val="000000"/>
              </w:rPr>
            </w:pPr>
            <w:r w:rsidRPr="00122816">
              <w:rPr>
                <w:color w:val="000000"/>
              </w:rPr>
              <w:lastRenderedPageBreak/>
              <w:t>12.</w:t>
            </w:r>
          </w:p>
        </w:tc>
        <w:tc>
          <w:tcPr>
            <w:tcW w:w="1768" w:type="dxa"/>
            <w:shd w:val="clear" w:color="auto" w:fill="auto"/>
          </w:tcPr>
          <w:p w:rsidR="0060288A" w:rsidRPr="00122816" w:rsidRDefault="00BB28E2" w:rsidP="00122816">
            <w:pPr>
              <w:jc w:val="both"/>
              <w:rPr>
                <w:color w:val="000000"/>
              </w:rPr>
            </w:pPr>
            <w:r w:rsidRPr="00122816">
              <w:rPr>
                <w:color w:val="000000"/>
              </w:rPr>
              <w:t>КСБ</w:t>
            </w:r>
          </w:p>
        </w:tc>
        <w:tc>
          <w:tcPr>
            <w:tcW w:w="3118" w:type="dxa"/>
            <w:shd w:val="clear" w:color="auto" w:fill="auto"/>
          </w:tcPr>
          <w:p w:rsidR="0060288A" w:rsidRPr="00122816" w:rsidRDefault="00BB28E2" w:rsidP="00122816">
            <w:pPr>
              <w:pStyle w:val="20"/>
              <w:shd w:val="clear" w:color="auto" w:fill="auto"/>
              <w:spacing w:before="0" w:line="240" w:lineRule="auto"/>
              <w:rPr>
                <w:sz w:val="24"/>
                <w:szCs w:val="24"/>
              </w:rPr>
            </w:pPr>
            <w:r w:rsidRPr="00122816">
              <w:rPr>
                <w:sz w:val="24"/>
                <w:szCs w:val="24"/>
              </w:rPr>
              <w:t xml:space="preserve">Друг проблем от практиката, който следва да се реши с промяната на наредбата е несъответствието между гаранционния срок на производителя и този на завършен монтаж на технически съоръжения в сградите. Предлагаме в чл. 20, , ал. 4, т. 5 да се направи следната редакция: „За вътрешни инсталации на сгради - 5 години; </w:t>
            </w:r>
            <w:r w:rsidRPr="00122816">
              <w:rPr>
                <w:rStyle w:val="21"/>
              </w:rPr>
              <w:t>за завършен монтаж на технически съоръжения и уреди в сградите - не по-голям от гаранционния срок на производителя“.</w:t>
            </w:r>
          </w:p>
        </w:tc>
        <w:tc>
          <w:tcPr>
            <w:tcW w:w="1985" w:type="dxa"/>
            <w:shd w:val="clear" w:color="auto" w:fill="auto"/>
          </w:tcPr>
          <w:p w:rsidR="0060288A" w:rsidRPr="006179DA" w:rsidRDefault="00A50E4F" w:rsidP="00122816">
            <w:pPr>
              <w:jc w:val="both"/>
              <w:rPr>
                <w:color w:val="000000"/>
              </w:rPr>
            </w:pPr>
            <w:r>
              <w:rPr>
                <w:color w:val="000000"/>
              </w:rPr>
              <w:t>н</w:t>
            </w:r>
            <w:r w:rsidR="006179DA">
              <w:rPr>
                <w:color w:val="000000"/>
              </w:rPr>
              <w:t xml:space="preserve">е се приема </w:t>
            </w:r>
          </w:p>
        </w:tc>
        <w:tc>
          <w:tcPr>
            <w:tcW w:w="4394" w:type="dxa"/>
            <w:shd w:val="clear" w:color="auto" w:fill="auto"/>
          </w:tcPr>
          <w:p w:rsidR="0060288A" w:rsidRPr="00122816" w:rsidRDefault="0060288A" w:rsidP="00122816">
            <w:pPr>
              <w:jc w:val="both"/>
              <w:rPr>
                <w:color w:val="000000"/>
                <w:lang w:val="en"/>
              </w:rPr>
            </w:pPr>
          </w:p>
        </w:tc>
        <w:tc>
          <w:tcPr>
            <w:tcW w:w="3730" w:type="dxa"/>
            <w:shd w:val="clear" w:color="auto" w:fill="auto"/>
          </w:tcPr>
          <w:p w:rsidR="0060288A" w:rsidRPr="006179DA" w:rsidRDefault="006179DA" w:rsidP="006179DA">
            <w:pPr>
              <w:jc w:val="both"/>
              <w:rPr>
                <w:color w:val="000000"/>
              </w:rPr>
            </w:pPr>
            <w:r>
              <w:rPr>
                <w:color w:val="000000"/>
              </w:rPr>
              <w:t xml:space="preserve">Уредено е в </w:t>
            </w:r>
            <w:r w:rsidR="007E76C7">
              <w:rPr>
                <w:color w:val="000000"/>
              </w:rPr>
              <w:t xml:space="preserve">създадената нова ал.5 на чл. 20 </w:t>
            </w:r>
            <w:r>
              <w:rPr>
                <w:color w:val="000000"/>
              </w:rPr>
              <w:t>от Наредба № 2</w:t>
            </w:r>
            <w:r w:rsidR="00A50E4F">
              <w:rPr>
                <w:color w:val="000000"/>
              </w:rPr>
              <w:t>.</w:t>
            </w:r>
            <w:r>
              <w:rPr>
                <w:color w:val="000000"/>
              </w:rPr>
              <w:t xml:space="preserve"> </w:t>
            </w:r>
          </w:p>
        </w:tc>
      </w:tr>
      <w:tr w:rsidR="008B4B31" w:rsidRPr="00122816" w:rsidTr="0047211F">
        <w:trPr>
          <w:jc w:val="center"/>
        </w:trPr>
        <w:tc>
          <w:tcPr>
            <w:tcW w:w="578" w:type="dxa"/>
            <w:shd w:val="clear" w:color="auto" w:fill="auto"/>
          </w:tcPr>
          <w:p w:rsidR="0060288A" w:rsidRPr="00122816" w:rsidRDefault="00BB28E2" w:rsidP="00122816">
            <w:pPr>
              <w:jc w:val="center"/>
              <w:rPr>
                <w:color w:val="000000"/>
              </w:rPr>
            </w:pPr>
            <w:r w:rsidRPr="00122816">
              <w:rPr>
                <w:color w:val="000000"/>
              </w:rPr>
              <w:t>13.</w:t>
            </w:r>
          </w:p>
        </w:tc>
        <w:tc>
          <w:tcPr>
            <w:tcW w:w="1768" w:type="dxa"/>
            <w:shd w:val="clear" w:color="auto" w:fill="auto"/>
          </w:tcPr>
          <w:p w:rsidR="0060288A" w:rsidRPr="00122816" w:rsidRDefault="00BB28E2" w:rsidP="00122816">
            <w:pPr>
              <w:jc w:val="both"/>
              <w:rPr>
                <w:color w:val="000000"/>
              </w:rPr>
            </w:pPr>
            <w:r w:rsidRPr="00122816">
              <w:rPr>
                <w:color w:val="000000"/>
              </w:rPr>
              <w:t>КСБ</w:t>
            </w:r>
          </w:p>
        </w:tc>
        <w:tc>
          <w:tcPr>
            <w:tcW w:w="3118" w:type="dxa"/>
            <w:shd w:val="clear" w:color="auto" w:fill="auto"/>
          </w:tcPr>
          <w:p w:rsidR="00BB28E2" w:rsidRPr="00122816" w:rsidRDefault="00BB28E2" w:rsidP="00122816">
            <w:pPr>
              <w:pStyle w:val="20"/>
              <w:shd w:val="clear" w:color="auto" w:fill="auto"/>
              <w:spacing w:before="0" w:line="240" w:lineRule="auto"/>
              <w:rPr>
                <w:sz w:val="24"/>
                <w:szCs w:val="24"/>
              </w:rPr>
            </w:pPr>
            <w:r w:rsidRPr="00122816">
              <w:rPr>
                <w:sz w:val="24"/>
                <w:szCs w:val="24"/>
              </w:rPr>
              <w:t>Предложените промени в чл.20, съответно водят до промени и в чл. 21:</w:t>
            </w:r>
          </w:p>
          <w:p w:rsidR="0060288A" w:rsidRPr="00122816" w:rsidRDefault="00BB28E2" w:rsidP="00122816">
            <w:pPr>
              <w:jc w:val="both"/>
              <w:rPr>
                <w:color w:val="000000"/>
                <w:u w:val="single"/>
                <w:lang w:bidi="bg-BG"/>
              </w:rPr>
            </w:pPr>
            <w:r w:rsidRPr="00122816">
              <w:t xml:space="preserve">Чл. 21 „Когато през време на гаранционните срокове след подписването на протокол образец 15 за установяване годността за приемане на строежа или след въвеждането в експлоатация (ползване) се появят скрити </w:t>
            </w:r>
            <w:r w:rsidRPr="00122816">
              <w:lastRenderedPageBreak/>
              <w:t xml:space="preserve">дефекти на строителния обект, споровете при </w:t>
            </w:r>
            <w:proofErr w:type="spellStart"/>
            <w:r w:rsidRPr="00122816">
              <w:t>непостигане</w:t>
            </w:r>
            <w:proofErr w:type="spellEnd"/>
            <w:r w:rsidRPr="00122816">
              <w:t xml:space="preserve"> на съгласие се решават по съдебен ред“.</w:t>
            </w:r>
          </w:p>
        </w:tc>
        <w:tc>
          <w:tcPr>
            <w:tcW w:w="1985" w:type="dxa"/>
            <w:shd w:val="clear" w:color="auto" w:fill="auto"/>
          </w:tcPr>
          <w:p w:rsidR="0060288A" w:rsidRPr="006179DA" w:rsidRDefault="00A50E4F" w:rsidP="00122816">
            <w:pPr>
              <w:jc w:val="both"/>
              <w:rPr>
                <w:color w:val="000000"/>
              </w:rPr>
            </w:pPr>
            <w:r>
              <w:rPr>
                <w:color w:val="000000"/>
              </w:rPr>
              <w:lastRenderedPageBreak/>
              <w:t>н</w:t>
            </w:r>
            <w:r w:rsidR="006179DA">
              <w:rPr>
                <w:color w:val="000000"/>
              </w:rPr>
              <w:t>е се приема</w:t>
            </w:r>
          </w:p>
        </w:tc>
        <w:tc>
          <w:tcPr>
            <w:tcW w:w="4394" w:type="dxa"/>
            <w:shd w:val="clear" w:color="auto" w:fill="auto"/>
          </w:tcPr>
          <w:p w:rsidR="0060288A" w:rsidRPr="00122816" w:rsidRDefault="0060288A" w:rsidP="00122816">
            <w:pPr>
              <w:jc w:val="both"/>
              <w:rPr>
                <w:color w:val="000000"/>
                <w:lang w:val="en"/>
              </w:rPr>
            </w:pPr>
          </w:p>
        </w:tc>
        <w:tc>
          <w:tcPr>
            <w:tcW w:w="3730" w:type="dxa"/>
            <w:shd w:val="clear" w:color="auto" w:fill="auto"/>
          </w:tcPr>
          <w:p w:rsidR="00A50E4F" w:rsidRDefault="00A50E4F" w:rsidP="00A50E4F">
            <w:pPr>
              <w:jc w:val="both"/>
              <w:rPr>
                <w:color w:val="000000"/>
              </w:rPr>
            </w:pPr>
            <w:r>
              <w:rPr>
                <w:color w:val="000000"/>
              </w:rPr>
              <w:t>Предложението противоречи на чл.160, ал.5 от ЗУТ „</w:t>
            </w:r>
            <w:proofErr w:type="spellStart"/>
            <w:r>
              <w:rPr>
                <w:color w:val="000000"/>
                <w:lang w:val="en"/>
              </w:rPr>
              <w:t>Гаранционните</w:t>
            </w:r>
            <w:proofErr w:type="spellEnd"/>
            <w:r>
              <w:rPr>
                <w:color w:val="000000"/>
                <w:lang w:val="en"/>
              </w:rPr>
              <w:t xml:space="preserve"> </w:t>
            </w:r>
            <w:proofErr w:type="spellStart"/>
            <w:r>
              <w:rPr>
                <w:color w:val="000000"/>
                <w:lang w:val="en"/>
              </w:rPr>
              <w:t>срокове</w:t>
            </w:r>
            <w:proofErr w:type="spellEnd"/>
            <w:r>
              <w:rPr>
                <w:color w:val="000000"/>
                <w:lang w:val="en"/>
              </w:rPr>
              <w:t xml:space="preserve"> </w:t>
            </w:r>
            <w:proofErr w:type="spellStart"/>
            <w:r>
              <w:rPr>
                <w:color w:val="000000"/>
                <w:lang w:val="en"/>
              </w:rPr>
              <w:t>текат</w:t>
            </w:r>
            <w:proofErr w:type="spellEnd"/>
            <w:r>
              <w:rPr>
                <w:color w:val="000000"/>
                <w:lang w:val="en"/>
              </w:rPr>
              <w:t xml:space="preserve"> </w:t>
            </w:r>
            <w:proofErr w:type="spellStart"/>
            <w:r>
              <w:rPr>
                <w:color w:val="000000"/>
                <w:lang w:val="en"/>
              </w:rPr>
              <w:t>от</w:t>
            </w:r>
            <w:proofErr w:type="spellEnd"/>
            <w:r>
              <w:rPr>
                <w:color w:val="000000"/>
                <w:lang w:val="en"/>
              </w:rPr>
              <w:t xml:space="preserve"> </w:t>
            </w:r>
            <w:proofErr w:type="spellStart"/>
            <w:r>
              <w:rPr>
                <w:color w:val="000000"/>
                <w:lang w:val="en"/>
              </w:rPr>
              <w:t>деня</w:t>
            </w:r>
            <w:proofErr w:type="spellEnd"/>
            <w:r>
              <w:rPr>
                <w:color w:val="000000"/>
                <w:lang w:val="en"/>
              </w:rPr>
              <w:t xml:space="preserve"> </w:t>
            </w:r>
            <w:proofErr w:type="spellStart"/>
            <w:r>
              <w:rPr>
                <w:color w:val="000000"/>
                <w:lang w:val="en"/>
              </w:rPr>
              <w:t>на</w:t>
            </w:r>
            <w:proofErr w:type="spellEnd"/>
            <w:r>
              <w:rPr>
                <w:color w:val="000000"/>
                <w:lang w:val="en"/>
              </w:rPr>
              <w:t xml:space="preserve"> </w:t>
            </w:r>
            <w:proofErr w:type="spellStart"/>
            <w:r>
              <w:rPr>
                <w:color w:val="000000"/>
                <w:lang w:val="en"/>
              </w:rPr>
              <w:t>въвеждане</w:t>
            </w:r>
            <w:proofErr w:type="spellEnd"/>
            <w:r>
              <w:rPr>
                <w:color w:val="000000"/>
                <w:lang w:val="en"/>
              </w:rPr>
              <w:t xml:space="preserve"> </w:t>
            </w:r>
            <w:proofErr w:type="spellStart"/>
            <w:r>
              <w:rPr>
                <w:color w:val="000000"/>
                <w:lang w:val="en"/>
              </w:rPr>
              <w:t>на</w:t>
            </w:r>
            <w:proofErr w:type="spellEnd"/>
            <w:r>
              <w:rPr>
                <w:color w:val="000000"/>
                <w:lang w:val="en"/>
              </w:rPr>
              <w:t xml:space="preserve"> </w:t>
            </w:r>
            <w:proofErr w:type="spellStart"/>
            <w:r>
              <w:rPr>
                <w:color w:val="000000"/>
                <w:lang w:val="en"/>
              </w:rPr>
              <w:t>строителния</w:t>
            </w:r>
            <w:proofErr w:type="spellEnd"/>
            <w:r>
              <w:rPr>
                <w:color w:val="000000"/>
                <w:lang w:val="en"/>
              </w:rPr>
              <w:t xml:space="preserve"> </w:t>
            </w:r>
            <w:proofErr w:type="spellStart"/>
            <w:r>
              <w:rPr>
                <w:color w:val="000000"/>
                <w:lang w:val="en"/>
              </w:rPr>
              <w:t>обект</w:t>
            </w:r>
            <w:proofErr w:type="spellEnd"/>
            <w:r>
              <w:rPr>
                <w:color w:val="000000"/>
                <w:lang w:val="en"/>
              </w:rPr>
              <w:t xml:space="preserve"> в </w:t>
            </w:r>
            <w:proofErr w:type="spellStart"/>
            <w:r>
              <w:rPr>
                <w:color w:val="000000"/>
                <w:lang w:val="en"/>
              </w:rPr>
              <w:t>експлоатация</w:t>
            </w:r>
            <w:proofErr w:type="spellEnd"/>
            <w:r>
              <w:rPr>
                <w:color w:val="000000"/>
              </w:rPr>
              <w:t xml:space="preserve">“. </w:t>
            </w:r>
          </w:p>
          <w:p w:rsidR="00A50E4F" w:rsidRPr="006179DA" w:rsidRDefault="00A50E4F" w:rsidP="00A50E4F">
            <w:pPr>
              <w:jc w:val="both"/>
              <w:rPr>
                <w:color w:val="000000"/>
              </w:rPr>
            </w:pPr>
            <w:r>
              <w:rPr>
                <w:color w:val="000000"/>
              </w:rPr>
              <w:t>Предложението може да бъде прието след реализиране на законодателна промяна в ЗУТ.</w:t>
            </w:r>
          </w:p>
        </w:tc>
      </w:tr>
      <w:tr w:rsidR="008B4B31" w:rsidRPr="00122816" w:rsidTr="0047211F">
        <w:trPr>
          <w:jc w:val="center"/>
        </w:trPr>
        <w:tc>
          <w:tcPr>
            <w:tcW w:w="578" w:type="dxa"/>
            <w:shd w:val="clear" w:color="auto" w:fill="auto"/>
          </w:tcPr>
          <w:p w:rsidR="0060288A" w:rsidRPr="00122816" w:rsidRDefault="008B4B31" w:rsidP="00122816">
            <w:pPr>
              <w:jc w:val="center"/>
              <w:rPr>
                <w:color w:val="000000"/>
              </w:rPr>
            </w:pPr>
            <w:r w:rsidRPr="00122816">
              <w:rPr>
                <w:color w:val="000000"/>
              </w:rPr>
              <w:t>14.</w:t>
            </w:r>
          </w:p>
        </w:tc>
        <w:tc>
          <w:tcPr>
            <w:tcW w:w="1768" w:type="dxa"/>
            <w:shd w:val="clear" w:color="auto" w:fill="auto"/>
          </w:tcPr>
          <w:p w:rsidR="0060288A" w:rsidRPr="00122816" w:rsidRDefault="00D266C9" w:rsidP="00122816">
            <w:pPr>
              <w:jc w:val="both"/>
            </w:pPr>
            <w:r w:rsidRPr="00122816">
              <w:t>Благой Козарев</w:t>
            </w:r>
            <w:r w:rsidR="00E76569" w:rsidRPr="00122816">
              <w:rPr>
                <w:lang w:val="en-US"/>
              </w:rPr>
              <w:t xml:space="preserve"> </w:t>
            </w:r>
            <w:r w:rsidRPr="00122816">
              <w:t xml:space="preserve">- генерален директор на </w:t>
            </w:r>
            <w:proofErr w:type="spellStart"/>
            <w:r w:rsidRPr="00122816">
              <w:t>Райкомерс</w:t>
            </w:r>
            <w:proofErr w:type="spellEnd"/>
            <w:r w:rsidRPr="00122816">
              <w:t xml:space="preserve"> </w:t>
            </w:r>
            <w:proofErr w:type="spellStart"/>
            <w:r w:rsidRPr="00122816">
              <w:t>Конструкшън</w:t>
            </w:r>
            <w:proofErr w:type="spellEnd"/>
            <w:r w:rsidRPr="00122816">
              <w:t xml:space="preserve"> ЕАД, член на УС на </w:t>
            </w:r>
            <w:r w:rsidR="0047211F" w:rsidRPr="00122816">
              <w:t>КСБ</w:t>
            </w:r>
          </w:p>
        </w:tc>
        <w:tc>
          <w:tcPr>
            <w:tcW w:w="3118" w:type="dxa"/>
            <w:shd w:val="clear" w:color="auto" w:fill="auto"/>
          </w:tcPr>
          <w:p w:rsidR="0060288A" w:rsidRPr="00122816" w:rsidRDefault="0047211F" w:rsidP="00122816">
            <w:pPr>
              <w:jc w:val="both"/>
              <w:rPr>
                <w:color w:val="000000"/>
                <w:u w:val="single"/>
                <w:lang w:bidi="bg-BG"/>
              </w:rPr>
            </w:pPr>
            <w:r w:rsidRPr="00122816">
              <w:t>Считаме, че предложените по-високи минимални гаранционни срокове за изпълнени строителни и монтажни работи, съоръжения и строително обекти (от 1 до 3 години) не съответстват на обективната действителност, биха създали условия за неравнопоставеност на компаниите на строителния пазар, не съответстват на европейската практика в тази насока, и също така, посочените мотиви не кореспондират на действителното положение</w:t>
            </w:r>
          </w:p>
        </w:tc>
        <w:tc>
          <w:tcPr>
            <w:tcW w:w="1985" w:type="dxa"/>
            <w:shd w:val="clear" w:color="auto" w:fill="auto"/>
          </w:tcPr>
          <w:p w:rsidR="0060288A" w:rsidRPr="004506A5" w:rsidRDefault="00703FD5" w:rsidP="00122816">
            <w:pPr>
              <w:jc w:val="both"/>
              <w:rPr>
                <w:color w:val="000000"/>
              </w:rPr>
            </w:pPr>
            <w:r>
              <w:rPr>
                <w:color w:val="000000"/>
              </w:rPr>
              <w:t>н</w:t>
            </w:r>
            <w:r w:rsidR="004506A5">
              <w:rPr>
                <w:color w:val="000000"/>
              </w:rPr>
              <w:t xml:space="preserve">е се приема </w:t>
            </w:r>
          </w:p>
        </w:tc>
        <w:tc>
          <w:tcPr>
            <w:tcW w:w="4394" w:type="dxa"/>
            <w:shd w:val="clear" w:color="auto" w:fill="auto"/>
          </w:tcPr>
          <w:p w:rsidR="0047211F" w:rsidRPr="00122816" w:rsidRDefault="00335FF6" w:rsidP="00122816">
            <w:pPr>
              <w:jc w:val="both"/>
            </w:pPr>
            <w:r w:rsidRPr="00122816">
              <w:t xml:space="preserve">1. </w:t>
            </w:r>
            <w:r w:rsidR="0047211F" w:rsidRPr="00122816">
              <w:t>На първо място, следва да се има предвид, че като един от основните мотиви за предложените изменения в минималните гаранционни срокове е посочено, че навлизането през последните години на нови технологии при изработване на строителни продукти допринасят за тяхното по-високо качество и допринасят за тяхното по-високо качество и повишават дълготрайността при влагането им в строителството. От така посочения мотив не става ясно кои нови технологии допринасят за по-високото качество на материалите. Освен това, възложителите на строителни и монтажни работи, извършвайки планиране и прогнозиране на предстоящите за възлагане такива, не предвиждат използването на материали и строителни продукти от такова естество, че същите да увеличат/удължат живота на даден изграден обект, което респективно да доведе до по-дълги гаранционни срокове.</w:t>
            </w:r>
          </w:p>
          <w:p w:rsidR="0047211F" w:rsidRPr="00122816" w:rsidRDefault="0047211F" w:rsidP="00122816">
            <w:pPr>
              <w:jc w:val="both"/>
            </w:pPr>
            <w:r w:rsidRPr="00122816">
              <w:t xml:space="preserve">В подкрепа на гореизложените доводи може да бъде взет предвид и следният пример: При строителни дейности на пътища и пътни съоръжения на автомагистрали и пътища I, II и III клас, е налична одобрена техническа </w:t>
            </w:r>
            <w:r w:rsidRPr="00122816">
              <w:lastRenderedPageBreak/>
              <w:t>спецификация от АПИ от 2014 г. Същата не е била модифицирана до момента, т.е. тя не отразява никакви нови технологии при изработването на строителни продукти, както и влагането на по-качествени материали. По отношение на останалите пътища не е наличен документ, който да задължава възложителите на СМР да се съобразяват с нови технологии при изработването на строителни продукти, както и влагането на по-качествени материали.</w:t>
            </w:r>
          </w:p>
          <w:p w:rsidR="0047211F" w:rsidRPr="00122816" w:rsidRDefault="0047211F" w:rsidP="00122816">
            <w:pPr>
              <w:jc w:val="both"/>
            </w:pPr>
            <w:r w:rsidRPr="00122816">
              <w:t>С оглед гореизложеното, законодателят, с приемането на предложените увеличени гаранционни срокове, въвежда тези срокове, базирани на въвеждането на нови технологии и влагането на по-качествени материали, а същевременно не налага задължителното въвеждане на същите, т.е. няма сигурност и стабилност, че проектите, които ще се изпълняват след влизането в сила на Наредбата и повишаването на минималните гаранционни срокове, ще доведат до по-качествен строителен продукт. Рискът от повишението на минимални гаранционни срокове ще бъде единствено и само за сметка на строителя, както е изложено по- долу в настоящото становище.</w:t>
            </w:r>
          </w:p>
          <w:p w:rsidR="00335FF6" w:rsidRPr="00122816" w:rsidRDefault="0047211F" w:rsidP="00122816">
            <w:pPr>
              <w:jc w:val="both"/>
            </w:pPr>
            <w:r w:rsidRPr="00122816">
              <w:t xml:space="preserve">Освен това, не може да бъде прието, че развитието на технологиите и материалите води до увеличаване на </w:t>
            </w:r>
            <w:r w:rsidRPr="00122816">
              <w:lastRenderedPageBreak/>
              <w:t>качеството, поради факта, че всеки строител предава изпълнените строителни и монтажни работи, част от които са и вложените материали/строителни продукти. Гаранцията на доставчиците по отношение на вложените строителни продукти и материали е валидна само при правилна експлоатация на същите, съобразно инструкции за експлоатация и т.н., но от момента, в който СМР са предадени от строителя на Възложителя - отговорността за тази експлоатация не може да бъде носена от строителя, а в повечето случаи, съобразно практиката до момента, възложителите прехвърлят тази отговорност, на основание минималните гаранционни срокове, на строителите, без същите да отговарят за правилното експлоатиране на обектите/материалите/продуктите. Това е една порочна и несправедлива практика, а увеличаване на минималните гаранционни срокове би стимулирало продължаването на тази практика.</w:t>
            </w:r>
            <w:r w:rsidR="0068205C" w:rsidRPr="00122816">
              <w:t xml:space="preserve"> </w:t>
            </w:r>
          </w:p>
          <w:p w:rsidR="0068205C" w:rsidRPr="00122816" w:rsidRDefault="00335FF6" w:rsidP="00122816">
            <w:pPr>
              <w:jc w:val="both"/>
            </w:pPr>
            <w:r w:rsidRPr="00122816">
              <w:t xml:space="preserve">2. </w:t>
            </w:r>
            <w:r w:rsidR="0068205C" w:rsidRPr="00122816">
              <w:t xml:space="preserve">На второ място, сега действащата Наредба, посочваща гаранционните срокове за строителни и монтажни работи, предвижда минимални гаранционни срокове, като право и отговорност на възложителите е да залага и изисква гаранционен срок, съобразен с предвижданията си, нуждите и възможностите, с оглед всеки </w:t>
            </w:r>
            <w:r w:rsidR="0068205C" w:rsidRPr="00122816">
              <w:lastRenderedPageBreak/>
              <w:t>конкретен обект/дейност. В тази връзка, увеличените гаранционни срокове неминуемо водят до допълнителни разходи за изпълнителите/строителите, а същите тези разходи към настоящия момент не се и няма да бъдат отчетени в обозримо бъдеще от възложителите, тъй като последните вече са извършили прогнозирания и планирания за предстоящите строителни и монтажни работи. Такъв допълнителен разход за строителя ще принуди същия да търси възможности, чрез които да компенсира разходите за увеличен гаранционен срок, а като пряка последица от това би пострадало качеството на конкретните работи. Във връзка с изложеното в настоящата точка, след направен задълбочен анализ, КСБ установи, че за да бъде удължена гаранцията с 1 година, е необходим допълнителен разход за тази удължена гаранция в размер на минимум 4 % годишно. Като се вземе предвид, че обичайната печалба се изчислява в размер на 10 % от изпълнението на всички дейности (макар подобна печалба да не може да бъде постигната реално), то 4 % годишно допълнителен разход би довел до изключително негативни последици не само върху отделни строители, а и върху целия бранш.</w:t>
            </w:r>
          </w:p>
          <w:p w:rsidR="0068205C" w:rsidRPr="00122816" w:rsidRDefault="0068205C" w:rsidP="00122816">
            <w:pPr>
              <w:jc w:val="both"/>
            </w:pPr>
            <w:r w:rsidRPr="00122816">
              <w:t xml:space="preserve">Ето защо, дори да бъде допуснато увеличаване на минималните </w:t>
            </w:r>
            <w:r w:rsidRPr="00122816">
              <w:lastRenderedPageBreak/>
              <w:t>гаранционни срокове за изпълнените строителни и монтажни работи, то това би следвало да се въведе на по-късен етап, като най-рано това би могло да бъде постигнато едва 2023г., когато възложителите биха могли да прогнозират правилно бюджетите за изпълнението на конкретните работи, като включат тези допълнителни разходи, съобразно предвижданото увеличение на сроковете. Към настоящия момент е невъзможно такова бюджетиране, съобразено с допълнителен разход за гаранционен срок, поради обстоятелството, че бюджетите вече за изготвени, приети и утвърдени.</w:t>
            </w:r>
          </w:p>
          <w:p w:rsidR="0068205C" w:rsidRPr="00122816" w:rsidRDefault="002D6DF0" w:rsidP="00122816">
            <w:pPr>
              <w:jc w:val="both"/>
            </w:pPr>
            <w:r w:rsidRPr="00122816">
              <w:t xml:space="preserve">3. </w:t>
            </w:r>
            <w:r w:rsidR="0068205C" w:rsidRPr="00122816">
              <w:t>На следващо място, всяка година допълнителен гаранционен</w:t>
            </w:r>
            <w:r w:rsidR="002C41F9">
              <w:t xml:space="preserve"> срок</w:t>
            </w:r>
            <w:r w:rsidR="0068205C" w:rsidRPr="00122816">
              <w:t xml:space="preserve"> води до сериозен допълнителен разход, който се поема от строителя за негова сметка и поради факта, че доставчици на оборудване, материали, строителни продукти и други не предоставят подобни гаранции, посочени в Наредбата. Средната продължителност на гаранционните срокове, например, за технологично оборудване за пречиствателни съоръжения е между 2 и 3 години, като всяка допълнителна година се предлага отделно при допълнително заплащане. В тази връзка, невъзможно е да се изисква от строителя 7 години гаранционен срок за </w:t>
            </w:r>
            <w:r w:rsidR="0068205C" w:rsidRPr="00122816">
              <w:lastRenderedPageBreak/>
              <w:t xml:space="preserve">пречиствателни съоръжения, защото е недопустимо поемането на такъв допълнителен разход, без същият да е калкулиран в бюджета на съответното съоръжение от самия възложител, респективно и от строителя. Друг пример са гаранционните срокове на доставчиците на материали, влагани във ВиК обекти, са максимално между 1 и 5 години, а съгласно предложените промени се предвижда този срок да стане 10 години. Недопустимо и противоречащо на добрите нрави и добрите търговски отношения е строителят да поема толкова завишени гаранции, при положение че строителят влага дадените строителни </w:t>
            </w:r>
            <w:proofErr w:type="spellStart"/>
            <w:r w:rsidR="0068205C" w:rsidRPr="00122816">
              <w:t>материали,но</w:t>
            </w:r>
            <w:proofErr w:type="spellEnd"/>
            <w:r w:rsidR="0068205C" w:rsidRPr="00122816">
              <w:t xml:space="preserve"> не е производител на същите и не може да влияе нито на гаранцията, предоставяна от доставчиците, нито на начина, по който се експлоатират обектите, в които се влагат материалите.</w:t>
            </w:r>
          </w:p>
          <w:p w:rsidR="0068205C" w:rsidRPr="00122816" w:rsidRDefault="00EF6B09" w:rsidP="00122816">
            <w:pPr>
              <w:jc w:val="both"/>
            </w:pPr>
            <w:r w:rsidRPr="00122816">
              <w:t xml:space="preserve">4. </w:t>
            </w:r>
            <w:r w:rsidR="0068205C" w:rsidRPr="00122816">
              <w:t xml:space="preserve">В допълнение на изложеното в горните точки, увеличените гаранционни срокове, респективно разходи за това, биха довели и до сериозни затруднения за голяма част от компаниите в сектора, което би нарушило и условията на равнопоставеност, към стриктното прилагане на които се стреми Европейския Съюз. Отделно от това, в случай че бъде допуснато такова увеличаване на минималните </w:t>
            </w:r>
            <w:r w:rsidR="0068205C" w:rsidRPr="00122816">
              <w:lastRenderedPageBreak/>
              <w:t>гаранционни срокове и то с нормативен акт, то следва да бъде вменено като задължение за Възложителите остойностяване на тези гаранционни срокове при извършване планирането и прогнозирането на обществените поръчки и подлежащите на изпълнение строителни и монтажни работи, като цяло.</w:t>
            </w:r>
          </w:p>
          <w:p w:rsidR="0068205C" w:rsidRPr="00122816" w:rsidRDefault="004D5B88" w:rsidP="00122816">
            <w:pPr>
              <w:jc w:val="both"/>
            </w:pPr>
            <w:r w:rsidRPr="00122816">
              <w:t xml:space="preserve">5. </w:t>
            </w:r>
            <w:r w:rsidR="0068205C" w:rsidRPr="00122816">
              <w:t xml:space="preserve">Освен гореизложените доводи, следва да се обърне внимание и на следващ мотив, изтъкнат в подкрепа на предложените изменения в минималните гаранционни срокове е, че завишаването им щяло да доведе до по-стриктно изпълнение на задълженията от страна на строителите и лицата, упражняващи строителен надзор, както и за спазването на технологичните изисквания за влагането на материали, изделия, продукти и други. В тази връзка, стриктното изпълнение на задълженията и спазване на технологичните изисквания при влагането на строителни материали и продукти е задължение на строителя, скрепено с осъществяван върху тези дейности надзор от страна на лицето, упражняващо строителен надзор, от една страна. От друга страна, стриктното изпълнение на задълженията както от страна на строителя, така и от страна на строителния надзор, е скрепено и с неустойки по отделните договори, както и от отговорност, </w:t>
            </w:r>
            <w:r w:rsidR="0068205C" w:rsidRPr="00122816">
              <w:lastRenderedPageBreak/>
              <w:t>произтичаща от самия закон. Освен това, стриктното спазване на задълженията е скрепено и от отговорността за съответствие с основните изисквания към строежите, като неспазването на технологични процеси и/или последователност, и/или на основни строителни изисквания, би довела до много тежки санкции и към настоящия момент. Едно удължаване на минимални гаранционни срокове не би повлияло на отговорността нито на дадения изпълнител/строител, нито на лицето, упражняващо строителен надзор. Механизми за реализиране на тази отговорност съществуват и активно действат и към настоящия момент.</w:t>
            </w:r>
          </w:p>
          <w:p w:rsidR="0068205C" w:rsidRPr="00122816" w:rsidRDefault="00641F43" w:rsidP="00122816">
            <w:pPr>
              <w:jc w:val="both"/>
            </w:pPr>
            <w:r w:rsidRPr="00122816">
              <w:t xml:space="preserve">6. </w:t>
            </w:r>
            <w:r w:rsidR="0068205C" w:rsidRPr="00122816">
              <w:t xml:space="preserve">В допълнение на изложеното по-горе, с предложенията за увеличение на минималните гаранционни срокове не се въвеждат изисквания на ЕС. В тази връзка, редно е да се обърне съществено внимание на факта, че в страните то Европейския Съюз минималните гаранционни срокове не кореспондират с предложените удължавания на същите в рамките на Република България. В тази връзка, една от основните цели на ЕС е уеднаквяване на практиките и нормите в областта на строителството, с оглед постигане на конкурентоспособност на компаниите, действащи в тази сфера, на ниво Европейски съюз, а не само на национално ниво. Като пример, за </w:t>
            </w:r>
            <w:r w:rsidR="0068205C" w:rsidRPr="00122816">
              <w:lastRenderedPageBreak/>
              <w:t>строителни и монтажни работи на пътища на територията на Австрия минималните срокове са между 2 и 5 години; на територията на Дания - 5 години; на територията на Германия -</w:t>
            </w:r>
            <w:r w:rsidR="004A70F7" w:rsidRPr="00122816">
              <w:t xml:space="preserve"> </w:t>
            </w:r>
            <w:r w:rsidR="0068205C" w:rsidRPr="00122816">
              <w:t>4-5 години; на територията на Норвегия -</w:t>
            </w:r>
            <w:r w:rsidR="004A70F7" w:rsidRPr="00122816">
              <w:t xml:space="preserve"> </w:t>
            </w:r>
            <w:r w:rsidR="0068205C" w:rsidRPr="00122816">
              <w:t>3 години; на територията на Швеция -</w:t>
            </w:r>
            <w:r w:rsidR="004A70F7" w:rsidRPr="00122816">
              <w:t xml:space="preserve"> </w:t>
            </w:r>
            <w:r w:rsidR="0068205C" w:rsidRPr="00122816">
              <w:t>2-5 години, а за България се предвижда тези срокове да са между 2 и 7 години. Увеличаването на минималните срокове не кореспондира с нормативно установените срокове на територията на ЕС. Освен това, по отношение изграждане и реконструкция на път/пътни мрежи, следва да се има предвид, че при извършване на проектирането никъде не се упоменава предстоящото натоварване, поради което е невъзможно да се допусне увеличаване на минималните гаранционни срокове за изпълнение на дейности, при които крайният резултат ще бъде с неизвестна натовареност.</w:t>
            </w:r>
          </w:p>
          <w:p w:rsidR="0060288A" w:rsidRPr="00122816" w:rsidRDefault="0068205C" w:rsidP="00122816">
            <w:pPr>
              <w:jc w:val="both"/>
            </w:pPr>
            <w:r w:rsidRPr="00122816">
              <w:t xml:space="preserve">В заключение, уеднаквяването на практиката по прилагане на актовете в областта на минималните гаранционни срокове в строителството предстои да бъде основа цел и линия на поведение на Европейския съюз, като допускане на разминавания в тази насока към настоящия момент, би довело до трудно преодолими пречки в бъдеще. Наличието на обективност в националното законодателство би </w:t>
            </w:r>
            <w:r w:rsidRPr="00122816">
              <w:lastRenderedPageBreak/>
              <w:t>довело до много по-леки процеси за уеднаквяване с европейската нормативна база, поради което считаме, че към настоящия момент не е наложително увеличаване на минималните гаранционни срокове по отношение на строителни и монтажни работи.</w:t>
            </w:r>
          </w:p>
        </w:tc>
        <w:tc>
          <w:tcPr>
            <w:tcW w:w="3730" w:type="dxa"/>
            <w:shd w:val="clear" w:color="auto" w:fill="auto"/>
          </w:tcPr>
          <w:p w:rsidR="00703FD5" w:rsidRPr="0077381C" w:rsidRDefault="00703FD5" w:rsidP="00703FD5">
            <w:pPr>
              <w:pStyle w:val="20"/>
              <w:shd w:val="clear" w:color="auto" w:fill="auto"/>
              <w:spacing w:before="0" w:line="240" w:lineRule="auto"/>
              <w:rPr>
                <w:sz w:val="24"/>
                <w:szCs w:val="24"/>
              </w:rPr>
            </w:pPr>
            <w:r w:rsidRPr="0077381C">
              <w:rPr>
                <w:sz w:val="24"/>
                <w:szCs w:val="24"/>
              </w:rPr>
              <w:lastRenderedPageBreak/>
              <w:t>Във връзка с навлизането през последните години на нови технологии при изработването на строителните продукти, които допринесоха за тяхното по-високо качество и повишиха дълготрайността при влагането им в строителството, с проекта на наредба е предвидено изменение на минималните гаранционни срокове за изпълнени строителни и монтажни работи, съоръжения и строителни обекти, регламентирани с Наредба № 2 от 2003 г., които не са променяни от влизането в сила на наредбата през 2003 г.</w:t>
            </w:r>
          </w:p>
          <w:p w:rsidR="00703FD5" w:rsidRPr="00CE7AF8" w:rsidRDefault="00703FD5" w:rsidP="00703FD5">
            <w:pPr>
              <w:spacing w:line="360" w:lineRule="auto"/>
              <w:ind w:firstLine="709"/>
              <w:jc w:val="both"/>
            </w:pPr>
          </w:p>
          <w:p w:rsidR="00703FD5" w:rsidRPr="0077381C" w:rsidRDefault="00703FD5" w:rsidP="00703FD5">
            <w:pPr>
              <w:pStyle w:val="20"/>
              <w:shd w:val="clear" w:color="auto" w:fill="auto"/>
              <w:spacing w:before="0" w:line="240" w:lineRule="auto"/>
              <w:rPr>
                <w:sz w:val="24"/>
                <w:szCs w:val="24"/>
              </w:rPr>
            </w:pPr>
            <w:r w:rsidRPr="0077381C">
              <w:rPr>
                <w:sz w:val="24"/>
                <w:szCs w:val="24"/>
              </w:rPr>
              <w:t>Целта на това изменение е осигуряване на нормалното функциониране и ползване на завършените строителни обекти, включително обектите на транспортната техническа инфраструктура и отстраняване на скритите дефекти след приемането им, посредством</w:t>
            </w:r>
            <w:r>
              <w:rPr>
                <w:sz w:val="24"/>
                <w:szCs w:val="24"/>
              </w:rPr>
              <w:t xml:space="preserve"> минимално </w:t>
            </w:r>
            <w:r w:rsidRPr="0077381C">
              <w:rPr>
                <w:sz w:val="24"/>
                <w:szCs w:val="24"/>
              </w:rPr>
              <w:t xml:space="preserve"> увеличаване на минималните гаранционни </w:t>
            </w:r>
            <w:r w:rsidRPr="0077381C">
              <w:rPr>
                <w:sz w:val="24"/>
                <w:szCs w:val="24"/>
              </w:rPr>
              <w:lastRenderedPageBreak/>
              <w:t>срокове, гарантиращи безопасното използване на строежите след въвеждането им в експлоатация.</w:t>
            </w:r>
          </w:p>
          <w:p w:rsidR="00703FD5" w:rsidRPr="0077381C" w:rsidRDefault="00703FD5" w:rsidP="00703FD5">
            <w:pPr>
              <w:pStyle w:val="20"/>
              <w:shd w:val="clear" w:color="auto" w:fill="auto"/>
              <w:spacing w:before="0" w:line="240" w:lineRule="auto"/>
              <w:rPr>
                <w:sz w:val="24"/>
                <w:szCs w:val="24"/>
              </w:rPr>
            </w:pPr>
            <w:r w:rsidRPr="0077381C">
              <w:rPr>
                <w:sz w:val="24"/>
                <w:szCs w:val="24"/>
              </w:rPr>
              <w:t xml:space="preserve">Завишаването на минималните гаранционни срокове ще доведе до по-стриктно изпълнение на задълженията от страна на строителите и лицата, упражняващи строителен надзор за изпълнението на строежите в съответствие с издадените строителни книжа и с изискванията на чл. 169, ал. 1 и 3 от ЗУТ, както и с правилата за изпълнение на строителните и монтажните работи и с материали, изделия, продукти и други в съответствие с основните изисквания към строежите, и за спазване на технологичните изисквания за влагането им. </w:t>
            </w:r>
          </w:p>
          <w:p w:rsidR="00703FD5" w:rsidRPr="0077381C" w:rsidRDefault="00703FD5" w:rsidP="00703FD5">
            <w:pPr>
              <w:pStyle w:val="20"/>
              <w:shd w:val="clear" w:color="auto" w:fill="auto"/>
              <w:spacing w:before="0" w:line="240" w:lineRule="auto"/>
              <w:rPr>
                <w:sz w:val="24"/>
                <w:szCs w:val="24"/>
              </w:rPr>
            </w:pPr>
            <w:r>
              <w:rPr>
                <w:sz w:val="24"/>
                <w:szCs w:val="24"/>
              </w:rPr>
              <w:t xml:space="preserve">      </w:t>
            </w:r>
            <w:r w:rsidRPr="0077381C">
              <w:rPr>
                <w:sz w:val="24"/>
                <w:szCs w:val="24"/>
              </w:rPr>
              <w:t>То</w:t>
            </w:r>
            <w:r>
              <w:rPr>
                <w:sz w:val="24"/>
                <w:szCs w:val="24"/>
              </w:rPr>
              <w:t xml:space="preserve">ва може да бъде постигнато чрез </w:t>
            </w:r>
            <w:r w:rsidRPr="0077381C">
              <w:rPr>
                <w:sz w:val="24"/>
                <w:szCs w:val="24"/>
              </w:rPr>
              <w:t>актуализиране, усъвършенстване и прецизиране на действащите разпоредби на наредбата.</w:t>
            </w:r>
          </w:p>
          <w:p w:rsidR="00703FD5" w:rsidRDefault="00703FD5" w:rsidP="00703FD5">
            <w:pPr>
              <w:jc w:val="both"/>
            </w:pPr>
          </w:p>
          <w:p w:rsidR="00AE0245" w:rsidRPr="00703FD5" w:rsidRDefault="00703FD5" w:rsidP="00703FD5">
            <w:pPr>
              <w:jc w:val="both"/>
            </w:pPr>
            <w:r>
              <w:t>Съгласно</w:t>
            </w:r>
            <w:r w:rsidR="004506A5" w:rsidRPr="00703FD5">
              <w:t xml:space="preserve"> §9 от ПЗР на наредбата „</w:t>
            </w:r>
            <w:r w:rsidR="00AE0245" w:rsidRPr="00703FD5">
              <w:t xml:space="preserve">Наредбата се прилага за сключени договори между възложителя и изпълнителя за съответните строителни и монтажни работи, съоръжения и </w:t>
            </w:r>
            <w:r w:rsidR="00AE0245" w:rsidRPr="00703FD5">
              <w:lastRenderedPageBreak/>
              <w:t>строителни обекти, след влизането й в сила“.</w:t>
            </w:r>
          </w:p>
          <w:p w:rsidR="0060288A" w:rsidRPr="004506A5" w:rsidRDefault="0060288A" w:rsidP="00122816">
            <w:pPr>
              <w:jc w:val="both"/>
              <w:rPr>
                <w:color w:val="000000"/>
              </w:rPr>
            </w:pPr>
          </w:p>
        </w:tc>
      </w:tr>
      <w:tr w:rsidR="008B4B31" w:rsidRPr="00122816" w:rsidTr="0047211F">
        <w:trPr>
          <w:jc w:val="center"/>
        </w:trPr>
        <w:tc>
          <w:tcPr>
            <w:tcW w:w="578" w:type="dxa"/>
            <w:shd w:val="clear" w:color="auto" w:fill="auto"/>
          </w:tcPr>
          <w:p w:rsidR="0060288A" w:rsidRPr="00122816" w:rsidRDefault="008B4B31" w:rsidP="00122816">
            <w:pPr>
              <w:jc w:val="center"/>
              <w:rPr>
                <w:color w:val="000000"/>
              </w:rPr>
            </w:pPr>
            <w:r w:rsidRPr="00122816">
              <w:rPr>
                <w:color w:val="000000"/>
              </w:rPr>
              <w:lastRenderedPageBreak/>
              <w:t>15.</w:t>
            </w:r>
          </w:p>
        </w:tc>
        <w:tc>
          <w:tcPr>
            <w:tcW w:w="1768" w:type="dxa"/>
            <w:shd w:val="clear" w:color="auto" w:fill="auto"/>
          </w:tcPr>
          <w:p w:rsidR="0060288A" w:rsidRPr="00122816" w:rsidRDefault="00D24771" w:rsidP="00122816">
            <w:pPr>
              <w:jc w:val="both"/>
              <w:rPr>
                <w:color w:val="000000"/>
              </w:rPr>
            </w:pPr>
            <w:r w:rsidRPr="00122816">
              <w:rPr>
                <w:lang w:eastAsia="en-US" w:bidi="en-US"/>
              </w:rPr>
              <w:t>Варна офис</w:t>
            </w:r>
            <w:r w:rsidR="00E76569" w:rsidRPr="00122816">
              <w:rPr>
                <w:lang w:val="en-US" w:eastAsia="en-US" w:bidi="en-US"/>
              </w:rPr>
              <w:t xml:space="preserve"> -</w:t>
            </w:r>
            <w:r w:rsidR="000468C1" w:rsidRPr="00122816">
              <w:rPr>
                <w:lang w:val="en-US" w:eastAsia="en-US" w:bidi="en-US"/>
              </w:rPr>
              <w:t xml:space="preserve"> </w:t>
            </w:r>
            <w:r w:rsidR="00F25D19" w:rsidRPr="00122816">
              <w:rPr>
                <w:lang w:eastAsia="en-US" w:bidi="en-US"/>
              </w:rPr>
              <w:t>КСБ</w:t>
            </w:r>
          </w:p>
        </w:tc>
        <w:tc>
          <w:tcPr>
            <w:tcW w:w="3118" w:type="dxa"/>
            <w:shd w:val="clear" w:color="auto" w:fill="auto"/>
          </w:tcPr>
          <w:p w:rsidR="00724191" w:rsidRPr="00122816" w:rsidRDefault="00F25D19" w:rsidP="00122816">
            <w:pPr>
              <w:jc w:val="both"/>
            </w:pPr>
            <w:r w:rsidRPr="00122816">
              <w:t xml:space="preserve">При дефекти в материалите, отговорност трябва да се търси и от производителя на тези материали, а не само от строителя. </w:t>
            </w:r>
          </w:p>
          <w:p w:rsidR="0060288A" w:rsidRPr="00122816" w:rsidRDefault="00724191" w:rsidP="00122816">
            <w:pPr>
              <w:jc w:val="both"/>
            </w:pPr>
            <w:r w:rsidRPr="00122816">
              <w:t>Трябва да има трета, независима страна, която да удостоверява за качеството на продуктите на пазара.</w:t>
            </w:r>
          </w:p>
        </w:tc>
        <w:tc>
          <w:tcPr>
            <w:tcW w:w="1985" w:type="dxa"/>
            <w:shd w:val="clear" w:color="auto" w:fill="auto"/>
          </w:tcPr>
          <w:p w:rsidR="0060288A" w:rsidRPr="007F6D14" w:rsidRDefault="007A72DE" w:rsidP="00122816">
            <w:pPr>
              <w:jc w:val="both"/>
              <w:rPr>
                <w:color w:val="000000"/>
              </w:rPr>
            </w:pPr>
            <w:r>
              <w:rPr>
                <w:color w:val="000000"/>
              </w:rPr>
              <w:t>н</w:t>
            </w:r>
            <w:r w:rsidR="007F6D14">
              <w:rPr>
                <w:color w:val="000000"/>
              </w:rPr>
              <w:t>е се приема</w:t>
            </w:r>
          </w:p>
        </w:tc>
        <w:tc>
          <w:tcPr>
            <w:tcW w:w="4394" w:type="dxa"/>
            <w:shd w:val="clear" w:color="auto" w:fill="auto"/>
          </w:tcPr>
          <w:p w:rsidR="00724191" w:rsidRPr="00122816" w:rsidRDefault="00724191" w:rsidP="00122816">
            <w:pPr>
              <w:jc w:val="both"/>
            </w:pPr>
            <w:r w:rsidRPr="00122816">
              <w:t>Например ако Външен бетонов възел достави некачествен бетон, строителят може да установи и да докаже това най-рано 28 дни след полагането му. В този случай отговорност трябва да носи доставчика на бетон, а не строителят който го е вложил в обекта...</w:t>
            </w:r>
          </w:p>
          <w:p w:rsidR="00724191" w:rsidRPr="00122816" w:rsidRDefault="00724191" w:rsidP="00122816">
            <w:pPr>
              <w:jc w:val="both"/>
            </w:pPr>
            <w:r w:rsidRPr="00122816">
              <w:t>Подобни примери могат да се дадат за почти всички строителни материали.</w:t>
            </w:r>
          </w:p>
          <w:p w:rsidR="0060288A" w:rsidRPr="00122816" w:rsidRDefault="00724191" w:rsidP="00122816">
            <w:pPr>
              <w:jc w:val="both"/>
            </w:pPr>
            <w:r w:rsidRPr="00122816">
              <w:t>Почти невъзможно е да се установи на място дали характеристиките на материалите покриват нормативните изисквания. А и подобен род информация е твърде обемен, за да може всеки строителен техник да борави свободно с нея.</w:t>
            </w:r>
          </w:p>
        </w:tc>
        <w:tc>
          <w:tcPr>
            <w:tcW w:w="3730" w:type="dxa"/>
            <w:shd w:val="clear" w:color="auto" w:fill="auto"/>
          </w:tcPr>
          <w:p w:rsidR="007A72DE" w:rsidRDefault="007A72DE" w:rsidP="00122816">
            <w:pPr>
              <w:jc w:val="both"/>
              <w:rPr>
                <w:color w:val="000000"/>
              </w:rPr>
            </w:pPr>
            <w:r>
              <w:rPr>
                <w:color w:val="000000"/>
              </w:rPr>
              <w:t xml:space="preserve">Със съставянето и подписването на  акт обр.15 </w:t>
            </w:r>
            <w:r w:rsidR="003B16B1">
              <w:rPr>
                <w:color w:val="000000"/>
              </w:rPr>
              <w:t xml:space="preserve">от участниците в процеса на строителството </w:t>
            </w:r>
            <w:r>
              <w:rPr>
                <w:color w:val="000000"/>
              </w:rPr>
              <w:t xml:space="preserve">се </w:t>
            </w:r>
            <w:r w:rsidR="003B16B1">
              <w:rPr>
                <w:color w:val="000000"/>
              </w:rPr>
              <w:t>установява</w:t>
            </w:r>
            <w:r w:rsidR="003B16B1" w:rsidRPr="003B16B1">
              <w:rPr>
                <w:color w:val="000000"/>
              </w:rPr>
              <w:t xml:space="preserve"> годността за приемане на строежа</w:t>
            </w:r>
            <w:r w:rsidR="003B16B1">
              <w:rPr>
                <w:color w:val="000000"/>
              </w:rPr>
              <w:t>.</w:t>
            </w:r>
          </w:p>
          <w:p w:rsidR="003B16B1" w:rsidRDefault="003B16B1" w:rsidP="00122816">
            <w:pPr>
              <w:jc w:val="both"/>
              <w:rPr>
                <w:color w:val="000000"/>
              </w:rPr>
            </w:pPr>
            <w:r>
              <w:rPr>
                <w:color w:val="000000"/>
              </w:rPr>
              <w:t>Участниците в процеса на строителството са изброени в чл.160, ал.1 от ЗУТ.</w:t>
            </w:r>
          </w:p>
          <w:p w:rsidR="0060288A" w:rsidRPr="007F6D14" w:rsidRDefault="007F6D14" w:rsidP="00122816">
            <w:pPr>
              <w:jc w:val="both"/>
              <w:rPr>
                <w:color w:val="000000"/>
              </w:rPr>
            </w:pPr>
            <w:r>
              <w:rPr>
                <w:color w:val="000000"/>
              </w:rPr>
              <w:t xml:space="preserve">Съгласно чл.160, ал.5 от ЗУТ „Гаранционните срокове текат от деня на въвеждане на строителния обект в експлоатация“, а не от датата на </w:t>
            </w:r>
            <w:r w:rsidR="002878FA">
              <w:rPr>
                <w:color w:val="000000"/>
              </w:rPr>
              <w:t>влагане на строителните продукти.</w:t>
            </w:r>
          </w:p>
        </w:tc>
      </w:tr>
      <w:tr w:rsidR="008B4B31" w:rsidRPr="00122816" w:rsidTr="0047211F">
        <w:trPr>
          <w:jc w:val="center"/>
        </w:trPr>
        <w:tc>
          <w:tcPr>
            <w:tcW w:w="578" w:type="dxa"/>
            <w:shd w:val="clear" w:color="auto" w:fill="auto"/>
          </w:tcPr>
          <w:p w:rsidR="0060288A" w:rsidRPr="00122816" w:rsidRDefault="008B4B31" w:rsidP="00122816">
            <w:pPr>
              <w:jc w:val="center"/>
              <w:rPr>
                <w:color w:val="000000"/>
              </w:rPr>
            </w:pPr>
            <w:r w:rsidRPr="00122816">
              <w:rPr>
                <w:color w:val="000000"/>
              </w:rPr>
              <w:t>16.</w:t>
            </w:r>
          </w:p>
        </w:tc>
        <w:tc>
          <w:tcPr>
            <w:tcW w:w="1768" w:type="dxa"/>
            <w:shd w:val="clear" w:color="auto" w:fill="auto"/>
          </w:tcPr>
          <w:p w:rsidR="0060288A" w:rsidRPr="00122816" w:rsidRDefault="00D24771" w:rsidP="00122816">
            <w:pPr>
              <w:jc w:val="both"/>
              <w:rPr>
                <w:color w:val="000000"/>
              </w:rPr>
            </w:pPr>
            <w:r w:rsidRPr="00122816">
              <w:rPr>
                <w:lang w:eastAsia="en-US" w:bidi="en-US"/>
              </w:rPr>
              <w:t>Варна офис</w:t>
            </w:r>
            <w:r w:rsidR="00B16C75" w:rsidRPr="00122816">
              <w:rPr>
                <w:lang w:val="en-US" w:eastAsia="en-US" w:bidi="en-US"/>
              </w:rPr>
              <w:t xml:space="preserve"> -</w:t>
            </w:r>
            <w:r w:rsidR="000468C1" w:rsidRPr="00122816">
              <w:rPr>
                <w:lang w:val="en-US" w:eastAsia="en-US" w:bidi="en-US"/>
              </w:rPr>
              <w:t xml:space="preserve"> </w:t>
            </w:r>
            <w:r w:rsidR="0003547D" w:rsidRPr="00122816">
              <w:rPr>
                <w:lang w:eastAsia="en-US" w:bidi="en-US"/>
              </w:rPr>
              <w:t>КСБ</w:t>
            </w:r>
          </w:p>
        </w:tc>
        <w:tc>
          <w:tcPr>
            <w:tcW w:w="3118" w:type="dxa"/>
            <w:shd w:val="clear" w:color="auto" w:fill="auto"/>
          </w:tcPr>
          <w:p w:rsidR="0003547D" w:rsidRPr="00122816" w:rsidRDefault="0003547D" w:rsidP="00122816">
            <w:pPr>
              <w:jc w:val="both"/>
            </w:pPr>
            <w:r w:rsidRPr="00122816">
              <w:t>Гаранционните срокове трябва да започват да текат веднага след приемането на съответното СМР отстрана на Възложителя и/или проектантите.</w:t>
            </w:r>
          </w:p>
          <w:p w:rsidR="0060288A" w:rsidRPr="00122816" w:rsidRDefault="0060288A" w:rsidP="00122816">
            <w:pPr>
              <w:jc w:val="both"/>
            </w:pPr>
          </w:p>
        </w:tc>
        <w:tc>
          <w:tcPr>
            <w:tcW w:w="1985" w:type="dxa"/>
            <w:shd w:val="clear" w:color="auto" w:fill="auto"/>
          </w:tcPr>
          <w:p w:rsidR="0060288A" w:rsidRPr="002878FA" w:rsidRDefault="00D63EA4" w:rsidP="00122816">
            <w:pPr>
              <w:jc w:val="both"/>
              <w:rPr>
                <w:color w:val="000000"/>
              </w:rPr>
            </w:pPr>
            <w:r>
              <w:rPr>
                <w:color w:val="000000"/>
              </w:rPr>
              <w:t>не</w:t>
            </w:r>
            <w:r w:rsidR="002878FA">
              <w:rPr>
                <w:color w:val="000000"/>
              </w:rPr>
              <w:t xml:space="preserve"> се приема</w:t>
            </w:r>
          </w:p>
        </w:tc>
        <w:tc>
          <w:tcPr>
            <w:tcW w:w="4394" w:type="dxa"/>
            <w:shd w:val="clear" w:color="auto" w:fill="auto"/>
          </w:tcPr>
          <w:p w:rsidR="0060288A" w:rsidRPr="00122816" w:rsidRDefault="00074113" w:rsidP="00122816">
            <w:pPr>
              <w:jc w:val="both"/>
            </w:pPr>
            <w:r w:rsidRPr="00122816">
              <w:t xml:space="preserve">В сега действащата наредба, гаранционните срокове започват да текат след въвеждане на сградата в експлоатация. Само че въвеждането на сградата в експлоатация може да се забави 1, 2 дори и 15 години след като е построена. Това означава, че гаранцията на Строителя в някой случаи може да се превърне в безкрайна... Например: Строителят строи </w:t>
            </w:r>
            <w:proofErr w:type="spellStart"/>
            <w:r w:rsidRPr="00122816">
              <w:t>многофамилна</w:t>
            </w:r>
            <w:proofErr w:type="spellEnd"/>
            <w:r w:rsidRPr="00122816">
              <w:t xml:space="preserve"> </w:t>
            </w:r>
            <w:r w:rsidRPr="00122816">
              <w:lastRenderedPageBreak/>
              <w:t>жилищна сграда. Предава всички строителни документи на собствениците и/или фирмата за строителен надзор. По някаква причина сградата се въвежда в експлоатация след 10 години. Гаранционният срок на покривната хидроизолация започва да тече след 10 години и е още 7 години. Минали са общо 17 години откакто е положена. В този случай гаранцията неправилно се увеличава от 7 на 17 години.</w:t>
            </w:r>
          </w:p>
        </w:tc>
        <w:tc>
          <w:tcPr>
            <w:tcW w:w="3730" w:type="dxa"/>
            <w:shd w:val="clear" w:color="auto" w:fill="auto"/>
          </w:tcPr>
          <w:p w:rsidR="00260971" w:rsidRDefault="00260971" w:rsidP="00260971">
            <w:pPr>
              <w:jc w:val="both"/>
              <w:rPr>
                <w:color w:val="000000"/>
              </w:rPr>
            </w:pPr>
            <w:r>
              <w:rPr>
                <w:color w:val="000000"/>
              </w:rPr>
              <w:lastRenderedPageBreak/>
              <w:t>Предложението противоречи на чл.160, ал.5 от ЗУТ „</w:t>
            </w:r>
            <w:proofErr w:type="spellStart"/>
            <w:r>
              <w:rPr>
                <w:color w:val="000000"/>
                <w:lang w:val="en"/>
              </w:rPr>
              <w:t>Гаранционните</w:t>
            </w:r>
            <w:proofErr w:type="spellEnd"/>
            <w:r>
              <w:rPr>
                <w:color w:val="000000"/>
                <w:lang w:val="en"/>
              </w:rPr>
              <w:t xml:space="preserve"> </w:t>
            </w:r>
            <w:proofErr w:type="spellStart"/>
            <w:r>
              <w:rPr>
                <w:color w:val="000000"/>
                <w:lang w:val="en"/>
              </w:rPr>
              <w:t>срокове</w:t>
            </w:r>
            <w:proofErr w:type="spellEnd"/>
            <w:r>
              <w:rPr>
                <w:color w:val="000000"/>
                <w:lang w:val="en"/>
              </w:rPr>
              <w:t xml:space="preserve"> </w:t>
            </w:r>
            <w:proofErr w:type="spellStart"/>
            <w:r>
              <w:rPr>
                <w:color w:val="000000"/>
                <w:lang w:val="en"/>
              </w:rPr>
              <w:t>текат</w:t>
            </w:r>
            <w:proofErr w:type="spellEnd"/>
            <w:r>
              <w:rPr>
                <w:color w:val="000000"/>
                <w:lang w:val="en"/>
              </w:rPr>
              <w:t xml:space="preserve"> </w:t>
            </w:r>
            <w:proofErr w:type="spellStart"/>
            <w:r>
              <w:rPr>
                <w:color w:val="000000"/>
                <w:lang w:val="en"/>
              </w:rPr>
              <w:t>от</w:t>
            </w:r>
            <w:proofErr w:type="spellEnd"/>
            <w:r>
              <w:rPr>
                <w:color w:val="000000"/>
                <w:lang w:val="en"/>
              </w:rPr>
              <w:t xml:space="preserve"> </w:t>
            </w:r>
            <w:proofErr w:type="spellStart"/>
            <w:r>
              <w:rPr>
                <w:color w:val="000000"/>
                <w:lang w:val="en"/>
              </w:rPr>
              <w:t>деня</w:t>
            </w:r>
            <w:proofErr w:type="spellEnd"/>
            <w:r>
              <w:rPr>
                <w:color w:val="000000"/>
                <w:lang w:val="en"/>
              </w:rPr>
              <w:t xml:space="preserve"> </w:t>
            </w:r>
            <w:proofErr w:type="spellStart"/>
            <w:r>
              <w:rPr>
                <w:color w:val="000000"/>
                <w:lang w:val="en"/>
              </w:rPr>
              <w:t>на</w:t>
            </w:r>
            <w:proofErr w:type="spellEnd"/>
            <w:r>
              <w:rPr>
                <w:color w:val="000000"/>
                <w:lang w:val="en"/>
              </w:rPr>
              <w:t xml:space="preserve"> </w:t>
            </w:r>
            <w:proofErr w:type="spellStart"/>
            <w:r>
              <w:rPr>
                <w:color w:val="000000"/>
                <w:lang w:val="en"/>
              </w:rPr>
              <w:t>въвеждане</w:t>
            </w:r>
            <w:proofErr w:type="spellEnd"/>
            <w:r>
              <w:rPr>
                <w:color w:val="000000"/>
                <w:lang w:val="en"/>
              </w:rPr>
              <w:t xml:space="preserve"> </w:t>
            </w:r>
            <w:proofErr w:type="spellStart"/>
            <w:r>
              <w:rPr>
                <w:color w:val="000000"/>
                <w:lang w:val="en"/>
              </w:rPr>
              <w:t>на</w:t>
            </w:r>
            <w:proofErr w:type="spellEnd"/>
            <w:r>
              <w:rPr>
                <w:color w:val="000000"/>
                <w:lang w:val="en"/>
              </w:rPr>
              <w:t xml:space="preserve"> </w:t>
            </w:r>
            <w:proofErr w:type="spellStart"/>
            <w:r>
              <w:rPr>
                <w:color w:val="000000"/>
                <w:lang w:val="en"/>
              </w:rPr>
              <w:t>строителния</w:t>
            </w:r>
            <w:proofErr w:type="spellEnd"/>
            <w:r>
              <w:rPr>
                <w:color w:val="000000"/>
                <w:lang w:val="en"/>
              </w:rPr>
              <w:t xml:space="preserve"> </w:t>
            </w:r>
            <w:proofErr w:type="spellStart"/>
            <w:r>
              <w:rPr>
                <w:color w:val="000000"/>
                <w:lang w:val="en"/>
              </w:rPr>
              <w:t>обект</w:t>
            </w:r>
            <w:proofErr w:type="spellEnd"/>
            <w:r>
              <w:rPr>
                <w:color w:val="000000"/>
                <w:lang w:val="en"/>
              </w:rPr>
              <w:t xml:space="preserve"> в </w:t>
            </w:r>
            <w:proofErr w:type="spellStart"/>
            <w:r>
              <w:rPr>
                <w:color w:val="000000"/>
                <w:lang w:val="en"/>
              </w:rPr>
              <w:t>експлоатация</w:t>
            </w:r>
            <w:proofErr w:type="spellEnd"/>
            <w:r>
              <w:rPr>
                <w:color w:val="000000"/>
              </w:rPr>
              <w:t xml:space="preserve">“. </w:t>
            </w:r>
          </w:p>
          <w:p w:rsidR="0060288A" w:rsidRPr="002878FA" w:rsidRDefault="00260971" w:rsidP="00260971">
            <w:pPr>
              <w:jc w:val="both"/>
              <w:rPr>
                <w:color w:val="000000"/>
              </w:rPr>
            </w:pPr>
            <w:r>
              <w:rPr>
                <w:color w:val="000000"/>
              </w:rPr>
              <w:t>Предложението може да бъде прието след реализиране на законодателна промяна в ЗУТ.</w:t>
            </w:r>
          </w:p>
        </w:tc>
      </w:tr>
      <w:tr w:rsidR="00074113" w:rsidRPr="00122816" w:rsidTr="0047211F">
        <w:trPr>
          <w:jc w:val="center"/>
        </w:trPr>
        <w:tc>
          <w:tcPr>
            <w:tcW w:w="578" w:type="dxa"/>
            <w:shd w:val="clear" w:color="auto" w:fill="auto"/>
          </w:tcPr>
          <w:p w:rsidR="00074113" w:rsidRPr="00122816" w:rsidRDefault="00074113" w:rsidP="00122816">
            <w:pPr>
              <w:jc w:val="center"/>
              <w:rPr>
                <w:color w:val="000000"/>
              </w:rPr>
            </w:pPr>
            <w:r w:rsidRPr="00122816">
              <w:rPr>
                <w:color w:val="000000"/>
              </w:rPr>
              <w:t>17.</w:t>
            </w:r>
          </w:p>
        </w:tc>
        <w:tc>
          <w:tcPr>
            <w:tcW w:w="1768" w:type="dxa"/>
            <w:shd w:val="clear" w:color="auto" w:fill="auto"/>
          </w:tcPr>
          <w:p w:rsidR="00074113" w:rsidRPr="00122816" w:rsidRDefault="00D24771" w:rsidP="00122816">
            <w:pPr>
              <w:jc w:val="both"/>
              <w:rPr>
                <w:lang w:eastAsia="en-US" w:bidi="en-US"/>
              </w:rPr>
            </w:pPr>
            <w:r w:rsidRPr="00122816">
              <w:rPr>
                <w:lang w:eastAsia="en-US" w:bidi="en-US"/>
              </w:rPr>
              <w:t>Варна офис</w:t>
            </w:r>
            <w:r w:rsidR="00F03197" w:rsidRPr="00122816">
              <w:rPr>
                <w:lang w:eastAsia="en-US" w:bidi="en-US"/>
              </w:rPr>
              <w:t xml:space="preserve"> </w:t>
            </w:r>
            <w:r w:rsidR="00F03197" w:rsidRPr="00122816">
              <w:rPr>
                <w:lang w:val="en-US" w:eastAsia="en-US" w:bidi="en-US"/>
              </w:rPr>
              <w:t xml:space="preserve">- </w:t>
            </w:r>
            <w:r w:rsidR="00074113" w:rsidRPr="00122816">
              <w:t>КСБ</w:t>
            </w:r>
          </w:p>
        </w:tc>
        <w:tc>
          <w:tcPr>
            <w:tcW w:w="3118" w:type="dxa"/>
            <w:shd w:val="clear" w:color="auto" w:fill="auto"/>
          </w:tcPr>
          <w:p w:rsidR="002E1762" w:rsidRPr="00122816" w:rsidRDefault="00074113" w:rsidP="00122816">
            <w:pPr>
              <w:jc w:val="both"/>
            </w:pPr>
            <w:r w:rsidRPr="00122816">
              <w:t xml:space="preserve">Друг пропуск е, че гаранцията при някои СМР трябва да отпада, ако е налице неизпълнение (или лошо изпълнение) на други СМР по вина на Възложителя или трета страна. </w:t>
            </w:r>
          </w:p>
          <w:p w:rsidR="00074113" w:rsidRPr="00122816" w:rsidRDefault="00074113" w:rsidP="00122816">
            <w:pPr>
              <w:jc w:val="both"/>
            </w:pPr>
          </w:p>
        </w:tc>
        <w:tc>
          <w:tcPr>
            <w:tcW w:w="1985" w:type="dxa"/>
            <w:shd w:val="clear" w:color="auto" w:fill="auto"/>
          </w:tcPr>
          <w:p w:rsidR="00074113" w:rsidRPr="00122816" w:rsidRDefault="00260971" w:rsidP="00122816">
            <w:pPr>
              <w:jc w:val="both"/>
              <w:rPr>
                <w:color w:val="000000"/>
                <w:lang w:val="en"/>
              </w:rPr>
            </w:pPr>
            <w:r>
              <w:rPr>
                <w:color w:val="000000"/>
              </w:rPr>
              <w:t>н</w:t>
            </w:r>
            <w:r w:rsidR="000417E5">
              <w:rPr>
                <w:color w:val="000000"/>
              </w:rPr>
              <w:t>е се приема</w:t>
            </w:r>
          </w:p>
        </w:tc>
        <w:tc>
          <w:tcPr>
            <w:tcW w:w="4394" w:type="dxa"/>
            <w:shd w:val="clear" w:color="auto" w:fill="auto"/>
          </w:tcPr>
          <w:p w:rsidR="00074113" w:rsidRPr="00122816" w:rsidRDefault="002E1762" w:rsidP="00122816">
            <w:pPr>
              <w:jc w:val="both"/>
            </w:pPr>
            <w:r w:rsidRPr="00122816">
              <w:t>Например:</w:t>
            </w:r>
            <w:r w:rsidR="00673B24" w:rsidRPr="00122816">
              <w:t xml:space="preserve"> </w:t>
            </w:r>
            <w:r w:rsidRPr="00122816">
              <w:t xml:space="preserve">Строителят има договор за изпълнение на част от обекта. Например прави </w:t>
            </w:r>
            <w:proofErr w:type="spellStart"/>
            <w:r w:rsidRPr="00122816">
              <w:t>гипсокартони</w:t>
            </w:r>
            <w:proofErr w:type="spellEnd"/>
            <w:r w:rsidRPr="00122816">
              <w:t xml:space="preserve">, шпакловки, боядисване. Обаче Възложителят или друг строител се забавят с монтирането на дограмите. В този случай от дъждовете се намокря </w:t>
            </w:r>
            <w:proofErr w:type="spellStart"/>
            <w:r w:rsidRPr="00122816">
              <w:t>гипсокартона</w:t>
            </w:r>
            <w:proofErr w:type="spellEnd"/>
            <w:r w:rsidRPr="00122816">
              <w:t xml:space="preserve"> и следва да бъде подменен. В този случай, нечестно се вменяват задължения на първия строител.</w:t>
            </w:r>
          </w:p>
        </w:tc>
        <w:tc>
          <w:tcPr>
            <w:tcW w:w="3730" w:type="dxa"/>
            <w:shd w:val="clear" w:color="auto" w:fill="auto"/>
          </w:tcPr>
          <w:p w:rsidR="00260971" w:rsidRDefault="00260971" w:rsidP="00260971">
            <w:pPr>
              <w:jc w:val="both"/>
              <w:rPr>
                <w:color w:val="000000"/>
              </w:rPr>
            </w:pPr>
            <w:r>
              <w:rPr>
                <w:color w:val="000000"/>
              </w:rPr>
              <w:t>Със съставянето и подписването на  акт обр.15 от участниците в процеса на строителството се установява</w:t>
            </w:r>
            <w:r w:rsidRPr="003B16B1">
              <w:rPr>
                <w:color w:val="000000"/>
              </w:rPr>
              <w:t xml:space="preserve"> годността за приемане на строежа</w:t>
            </w:r>
            <w:r>
              <w:rPr>
                <w:color w:val="000000"/>
              </w:rPr>
              <w:t>.</w:t>
            </w:r>
          </w:p>
          <w:p w:rsidR="00074113" w:rsidRPr="00991A44" w:rsidRDefault="00260971" w:rsidP="00260971">
            <w:pPr>
              <w:jc w:val="both"/>
              <w:rPr>
                <w:color w:val="000000"/>
              </w:rPr>
            </w:pPr>
            <w:r>
              <w:rPr>
                <w:color w:val="000000"/>
              </w:rPr>
              <w:t>Съгласно чл.160, ал.5 от ЗУТ „Гаранционните срокове текат от деня на въвеждане на строителния обект в експлоатация“, а не от датата на влагане на строителните продукти.</w:t>
            </w:r>
          </w:p>
        </w:tc>
      </w:tr>
      <w:tr w:rsidR="00074113" w:rsidRPr="00122816" w:rsidTr="0047211F">
        <w:trPr>
          <w:jc w:val="center"/>
        </w:trPr>
        <w:tc>
          <w:tcPr>
            <w:tcW w:w="578" w:type="dxa"/>
            <w:shd w:val="clear" w:color="auto" w:fill="auto"/>
          </w:tcPr>
          <w:p w:rsidR="00074113" w:rsidRPr="00122816" w:rsidRDefault="00074113" w:rsidP="00122816">
            <w:pPr>
              <w:jc w:val="center"/>
              <w:rPr>
                <w:color w:val="000000"/>
              </w:rPr>
            </w:pPr>
            <w:r w:rsidRPr="00122816">
              <w:rPr>
                <w:color w:val="000000"/>
              </w:rPr>
              <w:t>18.</w:t>
            </w:r>
          </w:p>
        </w:tc>
        <w:tc>
          <w:tcPr>
            <w:tcW w:w="1768" w:type="dxa"/>
            <w:shd w:val="clear" w:color="auto" w:fill="auto"/>
          </w:tcPr>
          <w:p w:rsidR="00074113" w:rsidRPr="00122816" w:rsidRDefault="00D24771" w:rsidP="00122816">
            <w:pPr>
              <w:jc w:val="both"/>
              <w:rPr>
                <w:color w:val="000000"/>
              </w:rPr>
            </w:pPr>
            <w:r w:rsidRPr="00122816">
              <w:t xml:space="preserve">Димитър </w:t>
            </w:r>
            <w:proofErr w:type="spellStart"/>
            <w:r w:rsidRPr="00122816">
              <w:t>Копаров</w:t>
            </w:r>
            <w:proofErr w:type="spellEnd"/>
            <w:r w:rsidRPr="00122816">
              <w:t xml:space="preserve"> – КСБ Областно представителство - Благоевград</w:t>
            </w:r>
          </w:p>
        </w:tc>
        <w:tc>
          <w:tcPr>
            <w:tcW w:w="3118" w:type="dxa"/>
            <w:shd w:val="clear" w:color="auto" w:fill="auto"/>
          </w:tcPr>
          <w:p w:rsidR="00074113" w:rsidRPr="00122816" w:rsidRDefault="00074113" w:rsidP="00122816">
            <w:pPr>
              <w:jc w:val="both"/>
            </w:pPr>
            <w:r w:rsidRPr="00122816">
              <w:t xml:space="preserve">В </w:t>
            </w:r>
            <w:proofErr w:type="spellStart"/>
            <w:r w:rsidRPr="00122816">
              <w:t>проектодокумента</w:t>
            </w:r>
            <w:proofErr w:type="spellEnd"/>
            <w:r w:rsidRPr="00122816">
              <w:t xml:space="preserve"> трябва да бъде записано, че гаранционния срок на монтираните технически съоръжения и уреди в сградите не може да бъде по-голям от гаранционния срок на производителя или търговеца на същите.</w:t>
            </w:r>
          </w:p>
        </w:tc>
        <w:tc>
          <w:tcPr>
            <w:tcW w:w="1985" w:type="dxa"/>
            <w:shd w:val="clear" w:color="auto" w:fill="auto"/>
          </w:tcPr>
          <w:p w:rsidR="00074113" w:rsidRPr="001F5FF5" w:rsidRDefault="00260971" w:rsidP="00122816">
            <w:pPr>
              <w:jc w:val="both"/>
              <w:rPr>
                <w:color w:val="000000"/>
              </w:rPr>
            </w:pPr>
            <w:r>
              <w:rPr>
                <w:color w:val="000000"/>
              </w:rPr>
              <w:t>н</w:t>
            </w:r>
            <w:r w:rsidR="001F5FF5">
              <w:rPr>
                <w:color w:val="000000"/>
              </w:rPr>
              <w:t>е се приема</w:t>
            </w:r>
          </w:p>
        </w:tc>
        <w:tc>
          <w:tcPr>
            <w:tcW w:w="4394" w:type="dxa"/>
            <w:shd w:val="clear" w:color="auto" w:fill="auto"/>
          </w:tcPr>
          <w:p w:rsidR="00074113" w:rsidRPr="00122816" w:rsidRDefault="00074113" w:rsidP="00122816">
            <w:pPr>
              <w:jc w:val="both"/>
              <w:rPr>
                <w:color w:val="000000"/>
                <w:lang w:val="en"/>
              </w:rPr>
            </w:pPr>
          </w:p>
        </w:tc>
        <w:tc>
          <w:tcPr>
            <w:tcW w:w="3730" w:type="dxa"/>
            <w:shd w:val="clear" w:color="auto" w:fill="auto"/>
          </w:tcPr>
          <w:p w:rsidR="00074113" w:rsidRPr="001F5FF5" w:rsidRDefault="001F5FF5" w:rsidP="00122816">
            <w:pPr>
              <w:jc w:val="both"/>
              <w:rPr>
                <w:color w:val="000000"/>
              </w:rPr>
            </w:pPr>
            <w:r>
              <w:rPr>
                <w:color w:val="000000"/>
              </w:rPr>
              <w:t>Уредено в</w:t>
            </w:r>
            <w:r w:rsidR="007E76C7">
              <w:rPr>
                <w:color w:val="000000"/>
              </w:rPr>
              <w:t xml:space="preserve"> създадената нова ал.5 на </w:t>
            </w:r>
            <w:r>
              <w:rPr>
                <w:color w:val="000000"/>
              </w:rPr>
              <w:t>чл.20</w:t>
            </w:r>
            <w:r w:rsidR="007E76C7">
              <w:rPr>
                <w:color w:val="000000"/>
              </w:rPr>
              <w:t xml:space="preserve"> от наредба №2 </w:t>
            </w:r>
            <w:r w:rsidR="00260971">
              <w:rPr>
                <w:color w:val="000000"/>
              </w:rPr>
              <w:t>.</w:t>
            </w:r>
          </w:p>
        </w:tc>
      </w:tr>
      <w:tr w:rsidR="00074113" w:rsidRPr="00122816" w:rsidTr="0047211F">
        <w:trPr>
          <w:jc w:val="center"/>
        </w:trPr>
        <w:tc>
          <w:tcPr>
            <w:tcW w:w="578" w:type="dxa"/>
            <w:shd w:val="clear" w:color="auto" w:fill="auto"/>
          </w:tcPr>
          <w:p w:rsidR="00074113" w:rsidRPr="00122816" w:rsidRDefault="00074113" w:rsidP="00122816">
            <w:pPr>
              <w:jc w:val="center"/>
              <w:rPr>
                <w:color w:val="000000"/>
              </w:rPr>
            </w:pPr>
            <w:r w:rsidRPr="00122816">
              <w:rPr>
                <w:color w:val="000000"/>
              </w:rPr>
              <w:t>19.</w:t>
            </w:r>
          </w:p>
        </w:tc>
        <w:tc>
          <w:tcPr>
            <w:tcW w:w="1768" w:type="dxa"/>
            <w:shd w:val="clear" w:color="auto" w:fill="auto"/>
          </w:tcPr>
          <w:p w:rsidR="00074113" w:rsidRPr="00122816" w:rsidRDefault="00D24771" w:rsidP="00122816">
            <w:pPr>
              <w:jc w:val="both"/>
              <w:rPr>
                <w:color w:val="000000"/>
              </w:rPr>
            </w:pPr>
            <w:r w:rsidRPr="00122816">
              <w:t xml:space="preserve">Димитър </w:t>
            </w:r>
            <w:proofErr w:type="spellStart"/>
            <w:r w:rsidRPr="00122816">
              <w:t>Копаров</w:t>
            </w:r>
            <w:proofErr w:type="spellEnd"/>
            <w:r w:rsidRPr="00122816">
              <w:t xml:space="preserve"> – КСБ Областно </w:t>
            </w:r>
            <w:r w:rsidRPr="00122816">
              <w:lastRenderedPageBreak/>
              <w:t>представителство - Благоевград</w:t>
            </w:r>
          </w:p>
        </w:tc>
        <w:tc>
          <w:tcPr>
            <w:tcW w:w="3118" w:type="dxa"/>
            <w:shd w:val="clear" w:color="auto" w:fill="auto"/>
          </w:tcPr>
          <w:p w:rsidR="00074113" w:rsidRPr="00122816" w:rsidRDefault="00074113" w:rsidP="00122816">
            <w:pPr>
              <w:jc w:val="both"/>
              <w:rPr>
                <w:color w:val="000000"/>
                <w:u w:val="single"/>
                <w:lang w:bidi="bg-BG"/>
              </w:rPr>
            </w:pPr>
            <w:r w:rsidRPr="00122816">
              <w:lastRenderedPageBreak/>
              <w:t xml:space="preserve">Гаранционните срокове по конструкция, ВиК, </w:t>
            </w:r>
            <w:proofErr w:type="spellStart"/>
            <w:r w:rsidRPr="00122816">
              <w:t>ел.част</w:t>
            </w:r>
            <w:proofErr w:type="spellEnd"/>
            <w:r w:rsidRPr="00122816">
              <w:t xml:space="preserve">, </w:t>
            </w:r>
            <w:proofErr w:type="spellStart"/>
            <w:r w:rsidRPr="00122816">
              <w:t>ОиВ</w:t>
            </w:r>
            <w:proofErr w:type="spellEnd"/>
            <w:r w:rsidRPr="00122816">
              <w:t xml:space="preserve"> трябва да започват да </w:t>
            </w:r>
            <w:r w:rsidRPr="00122816">
              <w:lastRenderedPageBreak/>
              <w:t>текат от подписване на Акт 15 на сградата.</w:t>
            </w:r>
          </w:p>
        </w:tc>
        <w:tc>
          <w:tcPr>
            <w:tcW w:w="1985" w:type="dxa"/>
            <w:shd w:val="clear" w:color="auto" w:fill="auto"/>
          </w:tcPr>
          <w:p w:rsidR="00074113" w:rsidRPr="00751D91" w:rsidRDefault="00260971" w:rsidP="00122816">
            <w:pPr>
              <w:jc w:val="both"/>
              <w:rPr>
                <w:color w:val="000000"/>
              </w:rPr>
            </w:pPr>
            <w:r>
              <w:rPr>
                <w:color w:val="000000"/>
              </w:rPr>
              <w:lastRenderedPageBreak/>
              <w:t>н</w:t>
            </w:r>
            <w:r w:rsidR="00751D91">
              <w:rPr>
                <w:color w:val="000000"/>
              </w:rPr>
              <w:t>е се приема</w:t>
            </w:r>
          </w:p>
        </w:tc>
        <w:tc>
          <w:tcPr>
            <w:tcW w:w="4394" w:type="dxa"/>
            <w:shd w:val="clear" w:color="auto" w:fill="auto"/>
          </w:tcPr>
          <w:p w:rsidR="00074113" w:rsidRPr="00122816" w:rsidRDefault="00074113" w:rsidP="00122816">
            <w:pPr>
              <w:jc w:val="both"/>
              <w:rPr>
                <w:color w:val="000000"/>
                <w:lang w:val="en"/>
              </w:rPr>
            </w:pPr>
          </w:p>
        </w:tc>
        <w:tc>
          <w:tcPr>
            <w:tcW w:w="3730" w:type="dxa"/>
            <w:shd w:val="clear" w:color="auto" w:fill="auto"/>
          </w:tcPr>
          <w:p w:rsidR="00260971" w:rsidRDefault="00260971" w:rsidP="00260971">
            <w:pPr>
              <w:jc w:val="both"/>
              <w:rPr>
                <w:color w:val="000000"/>
              </w:rPr>
            </w:pPr>
            <w:r>
              <w:rPr>
                <w:color w:val="000000"/>
              </w:rPr>
              <w:t xml:space="preserve">Със съставянето и подписването на  акт обр.15 от участниците в процеса на строителството се </w:t>
            </w:r>
            <w:r>
              <w:rPr>
                <w:color w:val="000000"/>
              </w:rPr>
              <w:lastRenderedPageBreak/>
              <w:t>установява</w:t>
            </w:r>
            <w:r w:rsidRPr="003B16B1">
              <w:rPr>
                <w:color w:val="000000"/>
              </w:rPr>
              <w:t xml:space="preserve"> годността за приемане на строежа</w:t>
            </w:r>
            <w:r>
              <w:rPr>
                <w:color w:val="000000"/>
              </w:rPr>
              <w:t>.</w:t>
            </w:r>
          </w:p>
          <w:p w:rsidR="00074113" w:rsidRPr="00751D91" w:rsidRDefault="00260971" w:rsidP="00260971">
            <w:pPr>
              <w:jc w:val="both"/>
              <w:rPr>
                <w:color w:val="000000"/>
              </w:rPr>
            </w:pPr>
            <w:r>
              <w:rPr>
                <w:color w:val="000000"/>
              </w:rPr>
              <w:t>Съгласно чл.160, ал.5 от ЗУТ „Гаранционните срокове текат от деня на въвеждане на строителния обект в експлоатация“, а не от датата на влагане на строителните продукти.</w:t>
            </w:r>
          </w:p>
        </w:tc>
      </w:tr>
      <w:tr w:rsidR="00074113" w:rsidRPr="00122816" w:rsidTr="0047211F">
        <w:trPr>
          <w:jc w:val="center"/>
        </w:trPr>
        <w:tc>
          <w:tcPr>
            <w:tcW w:w="578" w:type="dxa"/>
            <w:shd w:val="clear" w:color="auto" w:fill="auto"/>
          </w:tcPr>
          <w:p w:rsidR="00074113" w:rsidRPr="00122816" w:rsidRDefault="00B3595C" w:rsidP="00122816">
            <w:pPr>
              <w:jc w:val="center"/>
              <w:rPr>
                <w:color w:val="000000"/>
              </w:rPr>
            </w:pPr>
            <w:r w:rsidRPr="00122816">
              <w:rPr>
                <w:color w:val="000000"/>
              </w:rPr>
              <w:lastRenderedPageBreak/>
              <w:t>20.</w:t>
            </w:r>
          </w:p>
        </w:tc>
        <w:tc>
          <w:tcPr>
            <w:tcW w:w="1768" w:type="dxa"/>
            <w:shd w:val="clear" w:color="auto" w:fill="auto"/>
          </w:tcPr>
          <w:p w:rsidR="00B3595C" w:rsidRPr="00105A05" w:rsidRDefault="00B3595C" w:rsidP="00122816">
            <w:pPr>
              <w:jc w:val="both"/>
            </w:pPr>
            <w:proofErr w:type="spellStart"/>
            <w:r w:rsidRPr="00122816">
              <w:t>Антица</w:t>
            </w:r>
            <w:proofErr w:type="spellEnd"/>
            <w:r w:rsidRPr="00122816">
              <w:t xml:space="preserve"> Ранчева</w:t>
            </w:r>
            <w:r w:rsidR="00E32932" w:rsidRPr="00122816">
              <w:t>, директор „Правна дирекция“</w:t>
            </w:r>
          </w:p>
          <w:p w:rsidR="00074113" w:rsidRPr="00122816" w:rsidRDefault="00E32932" w:rsidP="00122816">
            <w:pPr>
              <w:spacing w:after="150"/>
              <w:jc w:val="both"/>
              <w:outlineLvl w:val="4"/>
            </w:pPr>
            <w:r w:rsidRPr="00122816">
              <w:t>в</w:t>
            </w:r>
            <w:r w:rsidR="00B3595C" w:rsidRPr="00105A05">
              <w:t xml:space="preserve"> </w:t>
            </w:r>
            <w:r w:rsidR="00B3595C" w:rsidRPr="00122816">
              <w:t>„</w:t>
            </w:r>
            <w:proofErr w:type="spellStart"/>
            <w:r w:rsidR="00B3595C" w:rsidRPr="00122816">
              <w:t>Геострой</w:t>
            </w:r>
            <w:proofErr w:type="spellEnd"/>
            <w:r w:rsidR="00B3595C" w:rsidRPr="00122816">
              <w:t>“</w:t>
            </w:r>
            <w:r w:rsidR="00B3595C" w:rsidRPr="00105A05">
              <w:t xml:space="preserve"> АД</w:t>
            </w:r>
            <w:r w:rsidR="00B3595C" w:rsidRPr="00122816">
              <w:t xml:space="preserve"> - ПОК на МС</w:t>
            </w:r>
          </w:p>
        </w:tc>
        <w:tc>
          <w:tcPr>
            <w:tcW w:w="3118" w:type="dxa"/>
            <w:shd w:val="clear" w:color="auto" w:fill="auto"/>
          </w:tcPr>
          <w:p w:rsidR="00FF0C93" w:rsidRDefault="00B3595C" w:rsidP="00FF0C93">
            <w:pPr>
              <w:jc w:val="both"/>
            </w:pPr>
            <w:r w:rsidRPr="00105A05">
              <w:t xml:space="preserve">Считаме, че предложените в § 5 от Проекта за изменение и допълнение на Наредбата промени са ненужни и </w:t>
            </w:r>
            <w:r w:rsidRPr="00122816">
              <w:t>нецелесъобразни</w:t>
            </w:r>
            <w:r w:rsidR="00122816">
              <w:t>.</w:t>
            </w:r>
          </w:p>
          <w:p w:rsidR="00FF0C93" w:rsidRPr="00105A05" w:rsidRDefault="00FF0C93" w:rsidP="00FF0C93">
            <w:pPr>
              <w:jc w:val="both"/>
            </w:pPr>
            <w:r>
              <w:t>С</w:t>
            </w:r>
            <w:r w:rsidRPr="00105A05">
              <w:t>читаме, че в така предложената си редакция нормата на чл. 20 от Наредбата е от естество да разстрои обществените отношения, които регулира, като по този начин би ограничила своята собствена ефективност. В тази връзка предлагаме разпоредбата на чл. 20 от Наредбата да запази досегашната си редакция.</w:t>
            </w:r>
          </w:p>
          <w:p w:rsidR="00074113" w:rsidRDefault="00074113" w:rsidP="00FF0C93">
            <w:pPr>
              <w:jc w:val="both"/>
            </w:pPr>
          </w:p>
          <w:p w:rsidR="00122816" w:rsidRPr="00122816" w:rsidRDefault="00122816" w:rsidP="00FF0C93">
            <w:pPr>
              <w:jc w:val="both"/>
            </w:pPr>
          </w:p>
        </w:tc>
        <w:tc>
          <w:tcPr>
            <w:tcW w:w="1985" w:type="dxa"/>
            <w:shd w:val="clear" w:color="auto" w:fill="auto"/>
          </w:tcPr>
          <w:p w:rsidR="00074113" w:rsidRPr="00A13BFB" w:rsidRDefault="00260971" w:rsidP="00122816">
            <w:pPr>
              <w:jc w:val="both"/>
              <w:rPr>
                <w:color w:val="000000"/>
              </w:rPr>
            </w:pPr>
            <w:r>
              <w:rPr>
                <w:color w:val="000000"/>
              </w:rPr>
              <w:t>н</w:t>
            </w:r>
            <w:r w:rsidR="00A13BFB">
              <w:rPr>
                <w:color w:val="000000"/>
              </w:rPr>
              <w:t>е се приема</w:t>
            </w:r>
          </w:p>
        </w:tc>
        <w:tc>
          <w:tcPr>
            <w:tcW w:w="4394" w:type="dxa"/>
            <w:shd w:val="clear" w:color="auto" w:fill="auto"/>
          </w:tcPr>
          <w:p w:rsidR="00E32932" w:rsidRPr="00105A05" w:rsidRDefault="00E32932" w:rsidP="00122816">
            <w:pPr>
              <w:jc w:val="both"/>
            </w:pPr>
            <w:r w:rsidRPr="00105A05">
              <w:t>1. Тъй като отношенията между възложител и изпълнител на даден строителен обект в по-голямата си част са частноправни отношения, то параметрите на съответния договор за строителство, включително гаранционните срокове, подлежат на договаряне между страните. Ето защо продължителността на тези гаранционни срокове следва да бъде дефинирана от общата воля на възложител и изпълнител, тъй като именно те са компетентни да определят конкретните условия, приложими за съответния строеж. Що се отнася до СМР, възложени по реда на ЗОП, то няма пречка възложителя по дадена обществена поръчка да определи завишени гаранционни срокове за всеки отделен случай, според нуждите на обекта и спрямо собствената си преценка.</w:t>
            </w:r>
          </w:p>
          <w:p w:rsidR="00E32932" w:rsidRPr="00105A05" w:rsidRDefault="00E32932" w:rsidP="00122816">
            <w:pPr>
              <w:jc w:val="both"/>
            </w:pPr>
            <w:r w:rsidRPr="00105A05">
              <w:t xml:space="preserve">2. В случай, че предложените промени влязат в сила, то като неизбежна последица следва да се очаква нарастването на цените за извършване на </w:t>
            </w:r>
            <w:r w:rsidRPr="00105A05">
              <w:lastRenderedPageBreak/>
              <w:t>строително - монтажни работи. Това е напълно естествено, тъй като изпълнителите на СМР влагат ресурс не само за строителни материали, както погрешно</w:t>
            </w:r>
            <w:r w:rsidR="00EC7349">
              <w:t xml:space="preserve"> </w:t>
            </w:r>
            <w:r w:rsidRPr="00105A05">
              <w:t>е</w:t>
            </w:r>
            <w:r w:rsidR="00EC7349">
              <w:t xml:space="preserve"> </w:t>
            </w:r>
            <w:r w:rsidRPr="00105A05">
              <w:t>отчетено в мотивите към Проекта - финансов, човешки и времеви ресурс е необходим и за гаранционната поддръжка на съответния строеж, след като</w:t>
            </w:r>
            <w:r w:rsidRPr="00122816">
              <w:t xml:space="preserve"> </w:t>
            </w:r>
            <w:r w:rsidRPr="00105A05">
              <w:t>той е изпълнен, дори и в гаранционния срок да не се проявяват дефекти. Всеки строител, след като е поел гаранционна отговорност за изпълнени от него СМР, е в положение да поддържа постоянна готовност за гаранционно обслужване на дадения строителен обект.</w:t>
            </w:r>
          </w:p>
          <w:p w:rsidR="00E32932" w:rsidRPr="00105A05" w:rsidRDefault="00E32932" w:rsidP="00122816">
            <w:pPr>
              <w:jc w:val="both"/>
            </w:pPr>
            <w:r w:rsidRPr="00105A05">
              <w:t xml:space="preserve">3. Във връзка с изложеното по т.2 следва още да се отбележи, че закономерен резултат от евентуалното поскъпване на строителните дейности (което неминуемо ще се случи ако бъдат приети предлаганите промени) би било свиването на пазара за тези дейности, което би </w:t>
            </w:r>
            <w:proofErr w:type="spellStart"/>
            <w:r w:rsidRPr="00105A05">
              <w:t>долево</w:t>
            </w:r>
            <w:proofErr w:type="spellEnd"/>
            <w:r w:rsidRPr="00105A05">
              <w:t xml:space="preserve"> и до редуциране на фискалните приходи, постъпващи в хазната вследствие на съответното данъчно облагане.</w:t>
            </w:r>
          </w:p>
          <w:p w:rsidR="00E32932" w:rsidRPr="00105A05" w:rsidRDefault="00E32932" w:rsidP="00122816">
            <w:pPr>
              <w:jc w:val="both"/>
            </w:pPr>
            <w:r w:rsidRPr="00105A05">
              <w:t xml:space="preserve">4. На следващо място, в мотивите към Проекта е отбелязано, че гаранционните рокове за изпълнени СМР </w:t>
            </w:r>
            <w:r w:rsidRPr="00122816">
              <w:t>„</w:t>
            </w:r>
            <w:r w:rsidRPr="00105A05">
              <w:t>не са променяни от влизането в сила на наредбата</w:t>
            </w:r>
            <w:r w:rsidRPr="00122816">
              <w:t>“</w:t>
            </w:r>
            <w:r w:rsidRPr="00105A05">
              <w:t xml:space="preserve">. Фактът, че тези срокове не са променяни, не е основание същите да бъдат завишени, а наред с това е признак </w:t>
            </w:r>
            <w:r w:rsidRPr="00105A05">
              <w:lastRenderedPageBreak/>
              <w:t>за наличието на определен стабилитет в обществените отношения, касаещи гаранциите в строителството. Ето защо липсва основание устойчивостта и стабилността на тези отношения да бъдат компрометирани само поради обстоятелството, че гаранционните срокове не са променяни от 2003г.</w:t>
            </w:r>
          </w:p>
          <w:p w:rsidR="00E32932" w:rsidRPr="00105A05" w:rsidRDefault="00E32932" w:rsidP="00122816">
            <w:pPr>
              <w:spacing w:after="120"/>
            </w:pPr>
            <w:r w:rsidRPr="00105A05">
              <w:t xml:space="preserve">5. Нататък, в мотивите към Проекта се изтъква, че завишаването на минималните гаранционни срокове </w:t>
            </w:r>
            <w:r w:rsidRPr="00122816">
              <w:t>„</w:t>
            </w:r>
            <w:r w:rsidRPr="00105A05">
              <w:t>ще доведе до по-стриктно изпълнение на задълженията от страна на строителите</w:t>
            </w:r>
            <w:r w:rsidRPr="00122816">
              <w:t>“</w:t>
            </w:r>
            <w:r w:rsidRPr="00105A05">
              <w:t xml:space="preserve">. Авторите на Проекта, както изглежда, изхождат от презумпцията, че строителите НЕ изпълняват качествено своите задължения. Това твърдение, обаче, не е подкрепено от конкретни фактически данни или логически аргументи. Ето защо подобно </w:t>
            </w:r>
            <w:r w:rsidRPr="00122816">
              <w:t>„</w:t>
            </w:r>
            <w:r w:rsidRPr="00105A05">
              <w:t>инфлационно</w:t>
            </w:r>
            <w:r w:rsidRPr="00122816">
              <w:t>“</w:t>
            </w:r>
            <w:r w:rsidRPr="00105A05">
              <w:t xml:space="preserve"> нарастване на гаранционните срокове е неуместно спрямо обективната, реално съществуващата обстановка в строителния бранш.</w:t>
            </w:r>
          </w:p>
          <w:p w:rsidR="00074113" w:rsidRPr="00122816" w:rsidRDefault="00E32932" w:rsidP="00122816">
            <w:pPr>
              <w:jc w:val="both"/>
            </w:pPr>
            <w:r w:rsidRPr="00105A05">
              <w:t xml:space="preserve">6. В мотивите се обръща </w:t>
            </w:r>
            <w:r w:rsidR="00260971" w:rsidRPr="00105A05">
              <w:t>внимание</w:t>
            </w:r>
            <w:r w:rsidRPr="00105A05">
              <w:t xml:space="preserve"> и на </w:t>
            </w:r>
            <w:r w:rsidRPr="00122816">
              <w:t>„</w:t>
            </w:r>
            <w:r w:rsidRPr="00105A05">
              <w:t>навлизането през последните години на нови технологии при изработването на строителните продукти</w:t>
            </w:r>
            <w:r w:rsidRPr="00122816">
              <w:t>“</w:t>
            </w:r>
            <w:r w:rsidRPr="00105A05">
              <w:t xml:space="preserve">. Но навлизането на нови технологии се наблюдава не само през </w:t>
            </w:r>
            <w:r w:rsidRPr="00122816">
              <w:t>„</w:t>
            </w:r>
            <w:r w:rsidRPr="00105A05">
              <w:t>последните години</w:t>
            </w:r>
            <w:r w:rsidRPr="00122816">
              <w:t>“</w:t>
            </w:r>
            <w:r w:rsidRPr="00105A05">
              <w:t xml:space="preserve">, но и още отпреди юли 2003г., като съвсем резонно е да се очаква тази </w:t>
            </w:r>
            <w:r w:rsidRPr="00105A05">
              <w:lastRenderedPageBreak/>
              <w:t>тенденция да продължава и в бъдеще. Доколкото не съществува нормативно задължение в строежите да бъдат влагани продукти, изработени по най-новите, последни технологии (а само такива, отговарящи на определени технически стандарти и изисквания), дотолкова и завишаването на гаранционните срокове на тази база се явява необосновано.</w:t>
            </w:r>
          </w:p>
        </w:tc>
        <w:tc>
          <w:tcPr>
            <w:tcW w:w="3730" w:type="dxa"/>
            <w:shd w:val="clear" w:color="auto" w:fill="auto"/>
          </w:tcPr>
          <w:p w:rsidR="00074113" w:rsidRPr="00A13BFB" w:rsidRDefault="00A13BFB" w:rsidP="00122816">
            <w:pPr>
              <w:jc w:val="both"/>
              <w:rPr>
                <w:color w:val="000000"/>
              </w:rPr>
            </w:pPr>
            <w:r>
              <w:rPr>
                <w:color w:val="000000"/>
              </w:rPr>
              <w:lastRenderedPageBreak/>
              <w:t>Уредено в §</w:t>
            </w:r>
            <w:r w:rsidR="00260971">
              <w:rPr>
                <w:color w:val="000000"/>
              </w:rPr>
              <w:t xml:space="preserve"> </w:t>
            </w:r>
            <w:r>
              <w:rPr>
                <w:color w:val="000000"/>
              </w:rPr>
              <w:t xml:space="preserve">9 от ПЗР на наредба №2 </w:t>
            </w:r>
          </w:p>
        </w:tc>
      </w:tr>
      <w:tr w:rsidR="00074113" w:rsidRPr="00122816" w:rsidTr="0047211F">
        <w:trPr>
          <w:jc w:val="center"/>
        </w:trPr>
        <w:tc>
          <w:tcPr>
            <w:tcW w:w="578" w:type="dxa"/>
            <w:shd w:val="clear" w:color="auto" w:fill="auto"/>
          </w:tcPr>
          <w:p w:rsidR="00074113" w:rsidRPr="00A57F85" w:rsidRDefault="003D55DB" w:rsidP="00122816">
            <w:pPr>
              <w:jc w:val="center"/>
              <w:rPr>
                <w:color w:val="000000"/>
              </w:rPr>
            </w:pPr>
            <w:r w:rsidRPr="00A57F85">
              <w:rPr>
                <w:color w:val="000000"/>
              </w:rPr>
              <w:lastRenderedPageBreak/>
              <w:t>21.</w:t>
            </w:r>
          </w:p>
        </w:tc>
        <w:tc>
          <w:tcPr>
            <w:tcW w:w="1768" w:type="dxa"/>
            <w:shd w:val="clear" w:color="auto" w:fill="auto"/>
          </w:tcPr>
          <w:p w:rsidR="003D55DB" w:rsidRPr="00A57F85" w:rsidRDefault="003D55DB" w:rsidP="003D55DB">
            <w:pPr>
              <w:jc w:val="both"/>
            </w:pPr>
            <w:proofErr w:type="spellStart"/>
            <w:r w:rsidRPr="00A57F85">
              <w:t>Антица</w:t>
            </w:r>
            <w:proofErr w:type="spellEnd"/>
            <w:r w:rsidRPr="00A57F85">
              <w:t xml:space="preserve"> Ранчева, директор „Правна дирекция“</w:t>
            </w:r>
          </w:p>
          <w:p w:rsidR="00074113" w:rsidRPr="00A57F85" w:rsidRDefault="003D55DB" w:rsidP="003D55DB">
            <w:pPr>
              <w:jc w:val="both"/>
              <w:rPr>
                <w:color w:val="000000"/>
              </w:rPr>
            </w:pPr>
            <w:r w:rsidRPr="00A57F85">
              <w:t>в „</w:t>
            </w:r>
            <w:proofErr w:type="spellStart"/>
            <w:r w:rsidRPr="00A57F85">
              <w:t>Геострой</w:t>
            </w:r>
            <w:proofErr w:type="spellEnd"/>
            <w:r w:rsidRPr="00A57F85">
              <w:t>“ АД - ПОК на МС</w:t>
            </w:r>
          </w:p>
        </w:tc>
        <w:tc>
          <w:tcPr>
            <w:tcW w:w="3118" w:type="dxa"/>
            <w:shd w:val="clear" w:color="auto" w:fill="auto"/>
          </w:tcPr>
          <w:p w:rsidR="00074113" w:rsidRPr="00A57F85" w:rsidRDefault="003D55DB" w:rsidP="00122816">
            <w:pPr>
              <w:jc w:val="both"/>
            </w:pPr>
            <w:r w:rsidRPr="00A57F85">
              <w:t>По отношение на предложената от авторите на Проекта нова ал.5 на чл. 20 - нямаме възражения, като считаме че същата запълва една съществуваща в нормативната уредба празнота.</w:t>
            </w:r>
          </w:p>
        </w:tc>
        <w:tc>
          <w:tcPr>
            <w:tcW w:w="1985" w:type="dxa"/>
            <w:shd w:val="clear" w:color="auto" w:fill="auto"/>
          </w:tcPr>
          <w:p w:rsidR="00074113" w:rsidRPr="00A57F85" w:rsidRDefault="00260971" w:rsidP="00122816">
            <w:pPr>
              <w:jc w:val="both"/>
              <w:rPr>
                <w:color w:val="000000"/>
              </w:rPr>
            </w:pPr>
            <w:r w:rsidRPr="00A57F85">
              <w:rPr>
                <w:color w:val="000000"/>
              </w:rPr>
              <w:t>п</w:t>
            </w:r>
            <w:r w:rsidR="008462EA" w:rsidRPr="00A57F85">
              <w:rPr>
                <w:color w:val="000000"/>
              </w:rPr>
              <w:t xml:space="preserve">риема се </w:t>
            </w:r>
          </w:p>
        </w:tc>
        <w:tc>
          <w:tcPr>
            <w:tcW w:w="4394" w:type="dxa"/>
            <w:shd w:val="clear" w:color="auto" w:fill="auto"/>
          </w:tcPr>
          <w:p w:rsidR="00074113" w:rsidRPr="00FF56D7" w:rsidRDefault="00074113" w:rsidP="00122816">
            <w:pPr>
              <w:jc w:val="both"/>
              <w:rPr>
                <w:color w:val="000000"/>
                <w:highlight w:val="yellow"/>
                <w:lang w:val="en"/>
              </w:rPr>
            </w:pPr>
          </w:p>
        </w:tc>
        <w:tc>
          <w:tcPr>
            <w:tcW w:w="3730" w:type="dxa"/>
            <w:shd w:val="clear" w:color="auto" w:fill="auto"/>
          </w:tcPr>
          <w:p w:rsidR="00074113" w:rsidRPr="00FF56D7" w:rsidRDefault="00074113" w:rsidP="00122816">
            <w:pPr>
              <w:jc w:val="both"/>
              <w:rPr>
                <w:color w:val="000000"/>
                <w:highlight w:val="yellow"/>
                <w:lang w:val="en"/>
              </w:rPr>
            </w:pPr>
          </w:p>
        </w:tc>
      </w:tr>
      <w:tr w:rsidR="003D55DB" w:rsidRPr="00122816" w:rsidTr="0047211F">
        <w:trPr>
          <w:jc w:val="center"/>
        </w:trPr>
        <w:tc>
          <w:tcPr>
            <w:tcW w:w="578" w:type="dxa"/>
            <w:shd w:val="clear" w:color="auto" w:fill="auto"/>
          </w:tcPr>
          <w:p w:rsidR="003D55DB" w:rsidRPr="00122816" w:rsidRDefault="003D55DB" w:rsidP="00122816">
            <w:pPr>
              <w:jc w:val="center"/>
              <w:rPr>
                <w:color w:val="000000"/>
              </w:rPr>
            </w:pPr>
            <w:r>
              <w:rPr>
                <w:color w:val="000000"/>
              </w:rPr>
              <w:t>22.</w:t>
            </w:r>
          </w:p>
        </w:tc>
        <w:tc>
          <w:tcPr>
            <w:tcW w:w="1768" w:type="dxa"/>
            <w:shd w:val="clear" w:color="auto" w:fill="auto"/>
          </w:tcPr>
          <w:p w:rsidR="003D55DB" w:rsidRPr="00105A05" w:rsidRDefault="003D55DB" w:rsidP="00D707EF">
            <w:pPr>
              <w:jc w:val="both"/>
            </w:pPr>
            <w:proofErr w:type="spellStart"/>
            <w:r w:rsidRPr="00122816">
              <w:t>Антица</w:t>
            </w:r>
            <w:proofErr w:type="spellEnd"/>
            <w:r w:rsidRPr="00122816">
              <w:t xml:space="preserve"> Ранчева, директор „Правна дирекция“</w:t>
            </w:r>
          </w:p>
          <w:p w:rsidR="003D55DB" w:rsidRPr="00122816" w:rsidRDefault="003D55DB" w:rsidP="00D707EF">
            <w:pPr>
              <w:jc w:val="both"/>
              <w:rPr>
                <w:color w:val="000000"/>
              </w:rPr>
            </w:pPr>
            <w:r w:rsidRPr="00122816">
              <w:t>в</w:t>
            </w:r>
            <w:r w:rsidRPr="00105A05">
              <w:t xml:space="preserve"> </w:t>
            </w:r>
            <w:r w:rsidRPr="00122816">
              <w:t>„</w:t>
            </w:r>
            <w:proofErr w:type="spellStart"/>
            <w:r w:rsidRPr="00122816">
              <w:t>Геострой</w:t>
            </w:r>
            <w:proofErr w:type="spellEnd"/>
            <w:r w:rsidRPr="00122816">
              <w:t>“</w:t>
            </w:r>
            <w:r w:rsidRPr="00105A05">
              <w:t xml:space="preserve"> АД</w:t>
            </w:r>
            <w:r w:rsidRPr="00122816">
              <w:t xml:space="preserve"> - ПОК на МС</w:t>
            </w:r>
          </w:p>
        </w:tc>
        <w:tc>
          <w:tcPr>
            <w:tcW w:w="3118" w:type="dxa"/>
            <w:shd w:val="clear" w:color="auto" w:fill="auto"/>
          </w:tcPr>
          <w:p w:rsidR="003D55DB" w:rsidRPr="00DE2AAE" w:rsidRDefault="00DE2AAE" w:rsidP="00122816">
            <w:pPr>
              <w:jc w:val="both"/>
            </w:pPr>
            <w:r>
              <w:t>С</w:t>
            </w:r>
            <w:r w:rsidRPr="00105A05">
              <w:t>читаме че разпоредбата на §9 от Проекта за изменение на Наредба № 20 от 2003г. следва да бъде редактирана, като бъде посочено че промените в настоящия проект (ако бъдат приети и във вида, в който бъдат приети) се прилагат по отношение на договори, сключени между възложител и изпълнител след влизане в сила на съответните промени.</w:t>
            </w:r>
          </w:p>
        </w:tc>
        <w:tc>
          <w:tcPr>
            <w:tcW w:w="1985" w:type="dxa"/>
            <w:shd w:val="clear" w:color="auto" w:fill="auto"/>
          </w:tcPr>
          <w:p w:rsidR="003D55DB" w:rsidRPr="008462EA" w:rsidRDefault="00260971" w:rsidP="00122816">
            <w:pPr>
              <w:jc w:val="both"/>
              <w:rPr>
                <w:color w:val="000000"/>
              </w:rPr>
            </w:pPr>
            <w:r>
              <w:rPr>
                <w:color w:val="000000"/>
              </w:rPr>
              <w:t>н</w:t>
            </w:r>
            <w:r w:rsidR="008462EA">
              <w:rPr>
                <w:color w:val="000000"/>
              </w:rPr>
              <w:t xml:space="preserve">е се приема </w:t>
            </w:r>
          </w:p>
        </w:tc>
        <w:tc>
          <w:tcPr>
            <w:tcW w:w="4394" w:type="dxa"/>
            <w:shd w:val="clear" w:color="auto" w:fill="auto"/>
          </w:tcPr>
          <w:p w:rsidR="003D55DB" w:rsidRPr="00DE2AAE" w:rsidRDefault="00DE2AAE" w:rsidP="00122816">
            <w:pPr>
              <w:jc w:val="both"/>
            </w:pPr>
            <w:r w:rsidRPr="00105A05">
              <w:t>Така, както</w:t>
            </w:r>
            <w:r w:rsidR="00130028">
              <w:t xml:space="preserve"> </w:t>
            </w:r>
            <w:r w:rsidRPr="00105A05">
              <w:t xml:space="preserve">предложена редакцията към момента, излиза че цялата Наредба (с всички изменения и допълнения) се отнася за договори, сключени след влизането й в сила. Това би породило спорове по отношение на обекти, които са въведени в експлоатация по реда на Наредбата, преди влизане в сила на настоящите промени, които са предложени за обществено обсъждане, но спрямо които все още не са изтекли гаранционните срокове - кои срокове ще се прилагат - тези, действащи към момента на въвеждане в експлоатация на обекта или тези, определени с настоящия </w:t>
            </w:r>
            <w:r w:rsidRPr="00105A05">
              <w:lastRenderedPageBreak/>
              <w:t>Проект, ако бъ</w:t>
            </w:r>
            <w:r w:rsidR="00260971">
              <w:t>дат приети предлаганите промени.</w:t>
            </w:r>
          </w:p>
        </w:tc>
        <w:tc>
          <w:tcPr>
            <w:tcW w:w="3730" w:type="dxa"/>
            <w:shd w:val="clear" w:color="auto" w:fill="auto"/>
          </w:tcPr>
          <w:p w:rsidR="003D55DB" w:rsidRPr="008462EA" w:rsidRDefault="008462EA" w:rsidP="00122816">
            <w:pPr>
              <w:jc w:val="both"/>
              <w:rPr>
                <w:color w:val="000000"/>
              </w:rPr>
            </w:pPr>
            <w:r>
              <w:rPr>
                <w:color w:val="000000"/>
              </w:rPr>
              <w:lastRenderedPageBreak/>
              <w:t>Уредено е в §</w:t>
            </w:r>
            <w:r w:rsidR="00260971">
              <w:rPr>
                <w:color w:val="000000"/>
              </w:rPr>
              <w:t xml:space="preserve"> </w:t>
            </w:r>
            <w:r>
              <w:rPr>
                <w:color w:val="000000"/>
              </w:rPr>
              <w:t>9 от ПЗР на наредба № 2</w:t>
            </w:r>
            <w:r w:rsidR="00260971">
              <w:rPr>
                <w:color w:val="000000"/>
              </w:rPr>
              <w:t>.</w:t>
            </w:r>
          </w:p>
        </w:tc>
      </w:tr>
      <w:tr w:rsidR="0015589B" w:rsidRPr="00122816" w:rsidTr="0047211F">
        <w:trPr>
          <w:jc w:val="center"/>
        </w:trPr>
        <w:tc>
          <w:tcPr>
            <w:tcW w:w="578" w:type="dxa"/>
            <w:shd w:val="clear" w:color="auto" w:fill="auto"/>
          </w:tcPr>
          <w:p w:rsidR="0015589B" w:rsidRDefault="0015589B" w:rsidP="00122816">
            <w:pPr>
              <w:jc w:val="center"/>
              <w:rPr>
                <w:color w:val="000000"/>
              </w:rPr>
            </w:pPr>
            <w:r>
              <w:rPr>
                <w:color w:val="000000"/>
              </w:rPr>
              <w:t>23.</w:t>
            </w:r>
          </w:p>
        </w:tc>
        <w:tc>
          <w:tcPr>
            <w:tcW w:w="1768" w:type="dxa"/>
            <w:shd w:val="clear" w:color="auto" w:fill="auto"/>
          </w:tcPr>
          <w:p w:rsidR="0015589B" w:rsidRPr="00122816" w:rsidRDefault="0015589B" w:rsidP="00D707EF">
            <w:pPr>
              <w:jc w:val="both"/>
            </w:pPr>
            <w:r>
              <w:t>Агенцията по геодезия, картография  и кадастър – писмо изх. № 05-243/16.10.2019 г. на изпълнителния директор на АГКК</w:t>
            </w:r>
          </w:p>
        </w:tc>
        <w:tc>
          <w:tcPr>
            <w:tcW w:w="3118" w:type="dxa"/>
            <w:shd w:val="clear" w:color="auto" w:fill="auto"/>
          </w:tcPr>
          <w:p w:rsidR="0015589B" w:rsidRDefault="0015589B" w:rsidP="00122816">
            <w:pPr>
              <w:jc w:val="both"/>
            </w:pPr>
            <w:r>
              <w:t>В преходните и заключителните разпоредби да се създаде параграф със следното съдържание:</w:t>
            </w:r>
          </w:p>
          <w:p w:rsidR="0015589B" w:rsidRDefault="0015589B" w:rsidP="00122816">
            <w:pPr>
              <w:jc w:val="both"/>
            </w:pPr>
            <w:r>
              <w:t>„§…</w:t>
            </w:r>
            <w:r w:rsidRPr="0015589B">
              <w:t xml:space="preserve">До предаване на специализираните карти и регистри на Агенцията по геодезия, картография и кадастър по реда на чл. 32. ал. 5 от Закона за кадастъра и имотния регистър, строежите, които не са обект на кадастъра, се въвеждат в експлоатация въз основа на удостоверение, издадено от общинската администрация, за изпълнено задължение по § 36 </w:t>
            </w:r>
            <w:proofErr w:type="spellStart"/>
            <w:r w:rsidRPr="0015589B">
              <w:t>oт</w:t>
            </w:r>
            <w:proofErr w:type="spellEnd"/>
            <w:r w:rsidRPr="0015589B">
              <w:t xml:space="preserve"> Преходните и заключителни разпоредби към Закона за изменение и допълнение на Закона за кадастъра и имотния регистър (</w:t>
            </w:r>
            <w:proofErr w:type="spellStart"/>
            <w:r w:rsidRPr="0015589B">
              <w:t>обн</w:t>
            </w:r>
            <w:proofErr w:type="spellEnd"/>
            <w:r w:rsidRPr="0015589B">
              <w:t>. ДВ. бр. 57 от 2016 г.).</w:t>
            </w:r>
          </w:p>
        </w:tc>
        <w:tc>
          <w:tcPr>
            <w:tcW w:w="1985" w:type="dxa"/>
            <w:shd w:val="clear" w:color="auto" w:fill="auto"/>
          </w:tcPr>
          <w:p w:rsidR="0015589B" w:rsidRDefault="0015589B" w:rsidP="00122816">
            <w:pPr>
              <w:jc w:val="both"/>
              <w:rPr>
                <w:color w:val="000000"/>
              </w:rPr>
            </w:pPr>
            <w:r>
              <w:rPr>
                <w:color w:val="000000"/>
              </w:rPr>
              <w:t>приема се</w:t>
            </w:r>
          </w:p>
        </w:tc>
        <w:tc>
          <w:tcPr>
            <w:tcW w:w="4394" w:type="dxa"/>
            <w:shd w:val="clear" w:color="auto" w:fill="auto"/>
          </w:tcPr>
          <w:p w:rsidR="0015589B" w:rsidRDefault="0015589B" w:rsidP="00122816">
            <w:pPr>
              <w:jc w:val="both"/>
            </w:pPr>
            <w:r>
              <w:t xml:space="preserve">Съгласно § 26, ал. 1 от ПЗР към ЗИДЗКИР </w:t>
            </w:r>
            <w:r>
              <w:rPr>
                <w:lang w:val="en-US"/>
              </w:rPr>
              <w:t>(</w:t>
            </w:r>
            <w:proofErr w:type="spellStart"/>
            <w:r>
              <w:t>обн</w:t>
            </w:r>
            <w:proofErr w:type="spellEnd"/>
            <w:r>
              <w:t>., ДВ, бр. 41 от 2019 г., в сила от 22.08.2019 г.</w:t>
            </w:r>
            <w:r>
              <w:rPr>
                <w:lang w:val="en-US"/>
              </w:rPr>
              <w:t>)</w:t>
            </w:r>
            <w:r>
              <w:t xml:space="preserve"> </w:t>
            </w:r>
            <w:proofErr w:type="spellStart"/>
            <w:proofErr w:type="gramStart"/>
            <w:r>
              <w:rPr>
                <w:lang w:val="en-US"/>
              </w:rPr>
              <w:t>д</w:t>
            </w:r>
            <w:r w:rsidRPr="0015589B">
              <w:rPr>
                <w:lang w:val="en-US"/>
              </w:rPr>
              <w:t>о</w:t>
            </w:r>
            <w:proofErr w:type="spellEnd"/>
            <w:proofErr w:type="gramEnd"/>
            <w:r w:rsidRPr="0015589B">
              <w:rPr>
                <w:lang w:val="en-US"/>
              </w:rPr>
              <w:t xml:space="preserve"> </w:t>
            </w:r>
            <w:proofErr w:type="spellStart"/>
            <w:r w:rsidRPr="0015589B">
              <w:rPr>
                <w:lang w:val="en-US"/>
              </w:rPr>
              <w:t>предаването</w:t>
            </w:r>
            <w:proofErr w:type="spellEnd"/>
            <w:r w:rsidRPr="0015589B">
              <w:rPr>
                <w:lang w:val="en-US"/>
              </w:rPr>
              <w:t xml:space="preserve"> </w:t>
            </w:r>
            <w:proofErr w:type="spellStart"/>
            <w:r w:rsidRPr="0015589B">
              <w:rPr>
                <w:lang w:val="en-US"/>
              </w:rPr>
              <w:t>на</w:t>
            </w:r>
            <w:proofErr w:type="spellEnd"/>
            <w:r w:rsidRPr="0015589B">
              <w:rPr>
                <w:lang w:val="en-US"/>
              </w:rPr>
              <w:t xml:space="preserve"> </w:t>
            </w:r>
            <w:proofErr w:type="spellStart"/>
            <w:r w:rsidRPr="0015589B">
              <w:rPr>
                <w:lang w:val="en-US"/>
              </w:rPr>
              <w:t>специализираните</w:t>
            </w:r>
            <w:proofErr w:type="spellEnd"/>
            <w:r w:rsidRPr="0015589B">
              <w:rPr>
                <w:lang w:val="en-US"/>
              </w:rPr>
              <w:t xml:space="preserve"> </w:t>
            </w:r>
            <w:proofErr w:type="spellStart"/>
            <w:r w:rsidRPr="0015589B">
              <w:rPr>
                <w:lang w:val="en-US"/>
              </w:rPr>
              <w:t>карти</w:t>
            </w:r>
            <w:proofErr w:type="spellEnd"/>
            <w:r w:rsidRPr="0015589B">
              <w:rPr>
                <w:lang w:val="en-US"/>
              </w:rPr>
              <w:t xml:space="preserve"> и </w:t>
            </w:r>
            <w:proofErr w:type="spellStart"/>
            <w:r w:rsidRPr="0015589B">
              <w:rPr>
                <w:lang w:val="en-US"/>
              </w:rPr>
              <w:t>регистри</w:t>
            </w:r>
            <w:proofErr w:type="spellEnd"/>
            <w:r w:rsidRPr="0015589B">
              <w:rPr>
                <w:lang w:val="en-US"/>
              </w:rPr>
              <w:t xml:space="preserve"> </w:t>
            </w:r>
            <w:proofErr w:type="spellStart"/>
            <w:r w:rsidRPr="0015589B">
              <w:rPr>
                <w:lang w:val="en-US"/>
              </w:rPr>
              <w:t>на</w:t>
            </w:r>
            <w:proofErr w:type="spellEnd"/>
            <w:r w:rsidRPr="0015589B">
              <w:rPr>
                <w:lang w:val="en-US"/>
              </w:rPr>
              <w:t xml:space="preserve"> </w:t>
            </w:r>
            <w:proofErr w:type="spellStart"/>
            <w:r w:rsidRPr="0015589B">
              <w:rPr>
                <w:lang w:val="en-US"/>
              </w:rPr>
              <w:t>Агенцията</w:t>
            </w:r>
            <w:proofErr w:type="spellEnd"/>
            <w:r w:rsidRPr="0015589B">
              <w:rPr>
                <w:lang w:val="en-US"/>
              </w:rPr>
              <w:t xml:space="preserve"> </w:t>
            </w:r>
            <w:proofErr w:type="spellStart"/>
            <w:r w:rsidRPr="0015589B">
              <w:rPr>
                <w:lang w:val="en-US"/>
              </w:rPr>
              <w:t>по</w:t>
            </w:r>
            <w:proofErr w:type="spellEnd"/>
            <w:r w:rsidRPr="0015589B">
              <w:rPr>
                <w:lang w:val="en-US"/>
              </w:rPr>
              <w:t xml:space="preserve"> </w:t>
            </w:r>
            <w:proofErr w:type="spellStart"/>
            <w:r w:rsidRPr="0015589B">
              <w:rPr>
                <w:lang w:val="en-US"/>
              </w:rPr>
              <w:t>геодезия</w:t>
            </w:r>
            <w:proofErr w:type="spellEnd"/>
            <w:r w:rsidRPr="0015589B">
              <w:rPr>
                <w:lang w:val="en-US"/>
              </w:rPr>
              <w:t xml:space="preserve">, </w:t>
            </w:r>
            <w:proofErr w:type="spellStart"/>
            <w:r w:rsidRPr="0015589B">
              <w:rPr>
                <w:lang w:val="en-US"/>
              </w:rPr>
              <w:t>картография</w:t>
            </w:r>
            <w:proofErr w:type="spellEnd"/>
            <w:r w:rsidRPr="0015589B">
              <w:rPr>
                <w:lang w:val="en-US"/>
              </w:rPr>
              <w:t xml:space="preserve"> и </w:t>
            </w:r>
            <w:proofErr w:type="spellStart"/>
            <w:r w:rsidRPr="0015589B">
              <w:rPr>
                <w:lang w:val="en-US"/>
              </w:rPr>
              <w:t>кадастър</w:t>
            </w:r>
            <w:proofErr w:type="spellEnd"/>
            <w:r w:rsidRPr="0015589B">
              <w:rPr>
                <w:lang w:val="en-US"/>
              </w:rPr>
              <w:t xml:space="preserve"> </w:t>
            </w:r>
            <w:proofErr w:type="spellStart"/>
            <w:r w:rsidRPr="0015589B">
              <w:rPr>
                <w:lang w:val="en-US"/>
              </w:rPr>
              <w:t>по</w:t>
            </w:r>
            <w:proofErr w:type="spellEnd"/>
            <w:r w:rsidRPr="0015589B">
              <w:rPr>
                <w:lang w:val="en-US"/>
              </w:rPr>
              <w:t xml:space="preserve"> </w:t>
            </w:r>
            <w:proofErr w:type="spellStart"/>
            <w:r w:rsidRPr="0015589B">
              <w:rPr>
                <w:lang w:val="en-US"/>
              </w:rPr>
              <w:t>реда</w:t>
            </w:r>
            <w:proofErr w:type="spellEnd"/>
            <w:r w:rsidRPr="0015589B">
              <w:rPr>
                <w:lang w:val="en-US"/>
              </w:rPr>
              <w:t xml:space="preserve"> </w:t>
            </w:r>
            <w:proofErr w:type="spellStart"/>
            <w:r w:rsidRPr="0015589B">
              <w:rPr>
                <w:lang w:val="en-US"/>
              </w:rPr>
              <w:t>на</w:t>
            </w:r>
            <w:proofErr w:type="spellEnd"/>
            <w:r w:rsidRPr="0015589B">
              <w:rPr>
                <w:lang w:val="en-US"/>
              </w:rPr>
              <w:t xml:space="preserve"> </w:t>
            </w:r>
            <w:proofErr w:type="spellStart"/>
            <w:r w:rsidRPr="0015589B">
              <w:rPr>
                <w:lang w:val="en-US"/>
              </w:rPr>
              <w:t>чл</w:t>
            </w:r>
            <w:proofErr w:type="spellEnd"/>
            <w:r w:rsidRPr="0015589B">
              <w:rPr>
                <w:lang w:val="en-US"/>
              </w:rPr>
              <w:t xml:space="preserve">. 32, </w:t>
            </w:r>
            <w:proofErr w:type="spellStart"/>
            <w:r w:rsidRPr="0015589B">
              <w:rPr>
                <w:lang w:val="en-US"/>
              </w:rPr>
              <w:t>ал</w:t>
            </w:r>
            <w:proofErr w:type="spellEnd"/>
            <w:r w:rsidRPr="0015589B">
              <w:rPr>
                <w:lang w:val="en-US"/>
              </w:rPr>
              <w:t xml:space="preserve">. 5 </w:t>
            </w:r>
            <w:proofErr w:type="spellStart"/>
            <w:r w:rsidRPr="0015589B">
              <w:rPr>
                <w:lang w:val="en-US"/>
              </w:rPr>
              <w:t>строежите</w:t>
            </w:r>
            <w:proofErr w:type="spellEnd"/>
            <w:r w:rsidRPr="0015589B">
              <w:rPr>
                <w:lang w:val="en-US"/>
              </w:rPr>
              <w:t xml:space="preserve">, </w:t>
            </w:r>
            <w:proofErr w:type="spellStart"/>
            <w:r w:rsidRPr="0015589B">
              <w:rPr>
                <w:lang w:val="en-US"/>
              </w:rPr>
              <w:t>които</w:t>
            </w:r>
            <w:proofErr w:type="spellEnd"/>
            <w:r w:rsidRPr="0015589B">
              <w:rPr>
                <w:lang w:val="en-US"/>
              </w:rPr>
              <w:t xml:space="preserve"> </w:t>
            </w:r>
            <w:proofErr w:type="spellStart"/>
            <w:r w:rsidRPr="0015589B">
              <w:rPr>
                <w:lang w:val="en-US"/>
              </w:rPr>
              <w:t>не</w:t>
            </w:r>
            <w:proofErr w:type="spellEnd"/>
            <w:r w:rsidRPr="0015589B">
              <w:rPr>
                <w:lang w:val="en-US"/>
              </w:rPr>
              <w:t xml:space="preserve"> </w:t>
            </w:r>
            <w:proofErr w:type="spellStart"/>
            <w:r w:rsidRPr="0015589B">
              <w:rPr>
                <w:lang w:val="en-US"/>
              </w:rPr>
              <w:t>са</w:t>
            </w:r>
            <w:proofErr w:type="spellEnd"/>
            <w:r w:rsidRPr="0015589B">
              <w:rPr>
                <w:lang w:val="en-US"/>
              </w:rPr>
              <w:t xml:space="preserve"> </w:t>
            </w:r>
            <w:proofErr w:type="spellStart"/>
            <w:r w:rsidRPr="0015589B">
              <w:rPr>
                <w:lang w:val="en-US"/>
              </w:rPr>
              <w:t>обект</w:t>
            </w:r>
            <w:proofErr w:type="spellEnd"/>
            <w:r w:rsidRPr="0015589B">
              <w:rPr>
                <w:lang w:val="en-US"/>
              </w:rPr>
              <w:t xml:space="preserve"> </w:t>
            </w:r>
            <w:proofErr w:type="spellStart"/>
            <w:r w:rsidRPr="0015589B">
              <w:rPr>
                <w:lang w:val="en-US"/>
              </w:rPr>
              <w:t>на</w:t>
            </w:r>
            <w:proofErr w:type="spellEnd"/>
            <w:r w:rsidRPr="0015589B">
              <w:rPr>
                <w:lang w:val="en-US"/>
              </w:rPr>
              <w:t xml:space="preserve"> </w:t>
            </w:r>
            <w:proofErr w:type="spellStart"/>
            <w:r w:rsidRPr="0015589B">
              <w:rPr>
                <w:lang w:val="en-US"/>
              </w:rPr>
              <w:t>кадастъра</w:t>
            </w:r>
            <w:proofErr w:type="spellEnd"/>
            <w:r w:rsidRPr="0015589B">
              <w:rPr>
                <w:lang w:val="en-US"/>
              </w:rPr>
              <w:t xml:space="preserve">, </w:t>
            </w:r>
            <w:proofErr w:type="spellStart"/>
            <w:r w:rsidRPr="0015589B">
              <w:rPr>
                <w:lang w:val="en-US"/>
              </w:rPr>
              <w:t>се</w:t>
            </w:r>
            <w:proofErr w:type="spellEnd"/>
            <w:r w:rsidRPr="0015589B">
              <w:rPr>
                <w:lang w:val="en-US"/>
              </w:rPr>
              <w:t xml:space="preserve"> </w:t>
            </w:r>
            <w:proofErr w:type="spellStart"/>
            <w:r w:rsidRPr="0015589B">
              <w:rPr>
                <w:lang w:val="en-US"/>
              </w:rPr>
              <w:t>въвеждат</w:t>
            </w:r>
            <w:proofErr w:type="spellEnd"/>
            <w:r w:rsidRPr="0015589B">
              <w:rPr>
                <w:lang w:val="en-US"/>
              </w:rPr>
              <w:t xml:space="preserve"> в </w:t>
            </w:r>
            <w:proofErr w:type="spellStart"/>
            <w:r w:rsidRPr="0015589B">
              <w:rPr>
                <w:lang w:val="en-US"/>
              </w:rPr>
              <w:t>експлоатация</w:t>
            </w:r>
            <w:proofErr w:type="spellEnd"/>
            <w:r w:rsidRPr="0015589B">
              <w:rPr>
                <w:lang w:val="en-US"/>
              </w:rPr>
              <w:t xml:space="preserve"> </w:t>
            </w:r>
            <w:proofErr w:type="spellStart"/>
            <w:r w:rsidRPr="0015589B">
              <w:rPr>
                <w:lang w:val="en-US"/>
              </w:rPr>
              <w:t>въз</w:t>
            </w:r>
            <w:proofErr w:type="spellEnd"/>
            <w:r w:rsidRPr="0015589B">
              <w:rPr>
                <w:lang w:val="en-US"/>
              </w:rPr>
              <w:t xml:space="preserve"> </w:t>
            </w:r>
            <w:proofErr w:type="spellStart"/>
            <w:r w:rsidRPr="0015589B">
              <w:rPr>
                <w:lang w:val="en-US"/>
              </w:rPr>
              <w:t>основа</w:t>
            </w:r>
            <w:proofErr w:type="spellEnd"/>
            <w:r w:rsidRPr="0015589B">
              <w:rPr>
                <w:lang w:val="en-US"/>
              </w:rPr>
              <w:t xml:space="preserve"> </w:t>
            </w:r>
            <w:proofErr w:type="spellStart"/>
            <w:r w:rsidRPr="0015589B">
              <w:rPr>
                <w:lang w:val="en-US"/>
              </w:rPr>
              <w:t>на</w:t>
            </w:r>
            <w:proofErr w:type="spellEnd"/>
            <w:r w:rsidRPr="0015589B">
              <w:rPr>
                <w:lang w:val="en-US"/>
              </w:rPr>
              <w:t xml:space="preserve"> </w:t>
            </w:r>
            <w:proofErr w:type="spellStart"/>
            <w:r w:rsidRPr="0015589B">
              <w:rPr>
                <w:lang w:val="en-US"/>
              </w:rPr>
              <w:t>удостоверение</w:t>
            </w:r>
            <w:proofErr w:type="spellEnd"/>
            <w:r w:rsidRPr="0015589B">
              <w:rPr>
                <w:lang w:val="en-US"/>
              </w:rPr>
              <w:t xml:space="preserve"> </w:t>
            </w:r>
            <w:proofErr w:type="spellStart"/>
            <w:r w:rsidRPr="0015589B">
              <w:rPr>
                <w:lang w:val="en-US"/>
              </w:rPr>
              <w:t>от</w:t>
            </w:r>
            <w:proofErr w:type="spellEnd"/>
            <w:r w:rsidRPr="0015589B">
              <w:rPr>
                <w:lang w:val="en-US"/>
              </w:rPr>
              <w:t xml:space="preserve"> </w:t>
            </w:r>
            <w:proofErr w:type="spellStart"/>
            <w:r w:rsidRPr="0015589B">
              <w:rPr>
                <w:lang w:val="en-US"/>
              </w:rPr>
              <w:t>съответната</w:t>
            </w:r>
            <w:proofErr w:type="spellEnd"/>
            <w:r w:rsidRPr="0015589B">
              <w:rPr>
                <w:lang w:val="en-US"/>
              </w:rPr>
              <w:t xml:space="preserve"> </w:t>
            </w:r>
            <w:proofErr w:type="spellStart"/>
            <w:r w:rsidRPr="0015589B">
              <w:rPr>
                <w:lang w:val="en-US"/>
              </w:rPr>
              <w:t>община</w:t>
            </w:r>
            <w:proofErr w:type="spellEnd"/>
            <w:r w:rsidRPr="0015589B">
              <w:rPr>
                <w:lang w:val="en-US"/>
              </w:rPr>
              <w:t xml:space="preserve">, </w:t>
            </w:r>
            <w:proofErr w:type="spellStart"/>
            <w:r w:rsidRPr="0015589B">
              <w:rPr>
                <w:lang w:val="en-US"/>
              </w:rPr>
              <w:t>че</w:t>
            </w:r>
            <w:proofErr w:type="spellEnd"/>
            <w:r w:rsidRPr="0015589B">
              <w:rPr>
                <w:lang w:val="en-US"/>
              </w:rPr>
              <w:t xml:space="preserve"> </w:t>
            </w:r>
            <w:proofErr w:type="spellStart"/>
            <w:r w:rsidRPr="0015589B">
              <w:rPr>
                <w:lang w:val="en-US"/>
              </w:rPr>
              <w:t>възложителят</w:t>
            </w:r>
            <w:proofErr w:type="spellEnd"/>
            <w:r w:rsidRPr="0015589B">
              <w:rPr>
                <w:lang w:val="en-US"/>
              </w:rPr>
              <w:t xml:space="preserve"> е </w:t>
            </w:r>
            <w:proofErr w:type="spellStart"/>
            <w:r w:rsidRPr="0015589B">
              <w:rPr>
                <w:lang w:val="en-US"/>
              </w:rPr>
              <w:t>изпълнил</w:t>
            </w:r>
            <w:proofErr w:type="spellEnd"/>
            <w:r w:rsidRPr="0015589B">
              <w:rPr>
                <w:lang w:val="en-US"/>
              </w:rPr>
              <w:t xml:space="preserve"> </w:t>
            </w:r>
            <w:proofErr w:type="spellStart"/>
            <w:r w:rsidRPr="0015589B">
              <w:rPr>
                <w:lang w:val="en-US"/>
              </w:rPr>
              <w:t>задълженията</w:t>
            </w:r>
            <w:proofErr w:type="spellEnd"/>
            <w:r w:rsidRPr="0015589B">
              <w:rPr>
                <w:lang w:val="en-US"/>
              </w:rPr>
              <w:t xml:space="preserve"> </w:t>
            </w:r>
            <w:proofErr w:type="spellStart"/>
            <w:r w:rsidRPr="0015589B">
              <w:rPr>
                <w:lang w:val="en-US"/>
              </w:rPr>
              <w:t>си</w:t>
            </w:r>
            <w:proofErr w:type="spellEnd"/>
            <w:r w:rsidRPr="0015589B">
              <w:rPr>
                <w:lang w:val="en-US"/>
              </w:rPr>
              <w:t xml:space="preserve"> </w:t>
            </w:r>
            <w:proofErr w:type="spellStart"/>
            <w:r w:rsidRPr="0015589B">
              <w:rPr>
                <w:lang w:val="en-US"/>
              </w:rPr>
              <w:t>по</w:t>
            </w:r>
            <w:proofErr w:type="spellEnd"/>
            <w:r w:rsidRPr="0015589B">
              <w:rPr>
                <w:lang w:val="en-US"/>
              </w:rPr>
              <w:t xml:space="preserve"> § 36 </w:t>
            </w:r>
            <w:proofErr w:type="spellStart"/>
            <w:r w:rsidRPr="0015589B">
              <w:rPr>
                <w:lang w:val="en-US"/>
              </w:rPr>
              <w:t>от</w:t>
            </w:r>
            <w:proofErr w:type="spellEnd"/>
            <w:r w:rsidRPr="0015589B">
              <w:rPr>
                <w:lang w:val="en-US"/>
              </w:rPr>
              <w:t xml:space="preserve"> </w:t>
            </w:r>
            <w:proofErr w:type="spellStart"/>
            <w:r w:rsidRPr="0015589B">
              <w:rPr>
                <w:lang w:val="en-US"/>
              </w:rPr>
              <w:t>преходните</w:t>
            </w:r>
            <w:proofErr w:type="spellEnd"/>
            <w:r w:rsidRPr="0015589B">
              <w:rPr>
                <w:lang w:val="en-US"/>
              </w:rPr>
              <w:t xml:space="preserve"> и </w:t>
            </w:r>
            <w:proofErr w:type="spellStart"/>
            <w:r w:rsidRPr="0015589B">
              <w:rPr>
                <w:lang w:val="en-US"/>
              </w:rPr>
              <w:t>заключителните</w:t>
            </w:r>
            <w:proofErr w:type="spellEnd"/>
            <w:r w:rsidRPr="0015589B">
              <w:rPr>
                <w:lang w:val="en-US"/>
              </w:rPr>
              <w:t xml:space="preserve"> </w:t>
            </w:r>
            <w:proofErr w:type="spellStart"/>
            <w:r w:rsidRPr="0015589B">
              <w:rPr>
                <w:lang w:val="en-US"/>
              </w:rPr>
              <w:t>разпоредби</w:t>
            </w:r>
            <w:proofErr w:type="spellEnd"/>
            <w:r w:rsidRPr="0015589B">
              <w:rPr>
                <w:lang w:val="en-US"/>
              </w:rPr>
              <w:t xml:space="preserve"> </w:t>
            </w:r>
            <w:proofErr w:type="spellStart"/>
            <w:r w:rsidRPr="0015589B">
              <w:rPr>
                <w:lang w:val="en-US"/>
              </w:rPr>
              <w:t>на</w:t>
            </w:r>
            <w:proofErr w:type="spellEnd"/>
            <w:r w:rsidRPr="0015589B">
              <w:rPr>
                <w:lang w:val="en-US"/>
              </w:rPr>
              <w:t xml:space="preserve"> </w:t>
            </w:r>
            <w:proofErr w:type="spellStart"/>
            <w:r w:rsidRPr="0015589B">
              <w:rPr>
                <w:lang w:val="en-US"/>
              </w:rPr>
              <w:t>Закона</w:t>
            </w:r>
            <w:proofErr w:type="spellEnd"/>
            <w:r w:rsidRPr="0015589B">
              <w:rPr>
                <w:lang w:val="en-US"/>
              </w:rPr>
              <w:t xml:space="preserve"> </w:t>
            </w:r>
            <w:proofErr w:type="spellStart"/>
            <w:r w:rsidRPr="0015589B">
              <w:rPr>
                <w:lang w:val="en-US"/>
              </w:rPr>
              <w:t>за</w:t>
            </w:r>
            <w:proofErr w:type="spellEnd"/>
            <w:r w:rsidRPr="0015589B">
              <w:rPr>
                <w:lang w:val="en-US"/>
              </w:rPr>
              <w:t xml:space="preserve"> </w:t>
            </w:r>
            <w:proofErr w:type="spellStart"/>
            <w:r w:rsidRPr="0015589B">
              <w:rPr>
                <w:lang w:val="en-US"/>
              </w:rPr>
              <w:t>изменение</w:t>
            </w:r>
            <w:proofErr w:type="spellEnd"/>
            <w:r w:rsidRPr="0015589B">
              <w:rPr>
                <w:lang w:val="en-US"/>
              </w:rPr>
              <w:t xml:space="preserve"> и </w:t>
            </w:r>
            <w:proofErr w:type="spellStart"/>
            <w:r w:rsidRPr="0015589B">
              <w:rPr>
                <w:lang w:val="en-US"/>
              </w:rPr>
              <w:t>допълнение</w:t>
            </w:r>
            <w:proofErr w:type="spellEnd"/>
            <w:r w:rsidRPr="0015589B">
              <w:rPr>
                <w:lang w:val="en-US"/>
              </w:rPr>
              <w:t xml:space="preserve"> </w:t>
            </w:r>
            <w:proofErr w:type="spellStart"/>
            <w:r w:rsidRPr="0015589B">
              <w:rPr>
                <w:lang w:val="en-US"/>
              </w:rPr>
              <w:t>на</w:t>
            </w:r>
            <w:proofErr w:type="spellEnd"/>
            <w:r w:rsidRPr="0015589B">
              <w:rPr>
                <w:lang w:val="en-US"/>
              </w:rPr>
              <w:t xml:space="preserve"> </w:t>
            </w:r>
            <w:proofErr w:type="spellStart"/>
            <w:r w:rsidRPr="0015589B">
              <w:rPr>
                <w:lang w:val="en-US"/>
              </w:rPr>
              <w:t>Закона</w:t>
            </w:r>
            <w:proofErr w:type="spellEnd"/>
            <w:r w:rsidRPr="0015589B">
              <w:rPr>
                <w:lang w:val="en-US"/>
              </w:rPr>
              <w:t xml:space="preserve"> </w:t>
            </w:r>
            <w:proofErr w:type="spellStart"/>
            <w:r w:rsidRPr="0015589B">
              <w:rPr>
                <w:lang w:val="en-US"/>
              </w:rPr>
              <w:t>за</w:t>
            </w:r>
            <w:proofErr w:type="spellEnd"/>
            <w:r w:rsidRPr="0015589B">
              <w:rPr>
                <w:lang w:val="en-US"/>
              </w:rPr>
              <w:t xml:space="preserve"> </w:t>
            </w:r>
            <w:proofErr w:type="spellStart"/>
            <w:r w:rsidRPr="0015589B">
              <w:rPr>
                <w:lang w:val="en-US"/>
              </w:rPr>
              <w:t>кадастъра</w:t>
            </w:r>
            <w:proofErr w:type="spellEnd"/>
            <w:r w:rsidRPr="0015589B">
              <w:rPr>
                <w:lang w:val="en-US"/>
              </w:rPr>
              <w:t xml:space="preserve"> и </w:t>
            </w:r>
            <w:proofErr w:type="spellStart"/>
            <w:r w:rsidRPr="0015589B">
              <w:rPr>
                <w:lang w:val="en-US"/>
              </w:rPr>
              <w:t>имотния</w:t>
            </w:r>
            <w:proofErr w:type="spellEnd"/>
            <w:r w:rsidRPr="0015589B">
              <w:rPr>
                <w:lang w:val="en-US"/>
              </w:rPr>
              <w:t xml:space="preserve"> </w:t>
            </w:r>
            <w:proofErr w:type="spellStart"/>
            <w:r w:rsidRPr="0015589B">
              <w:rPr>
                <w:lang w:val="en-US"/>
              </w:rPr>
              <w:t>регистър</w:t>
            </w:r>
            <w:proofErr w:type="spellEnd"/>
            <w:r w:rsidRPr="0015589B">
              <w:rPr>
                <w:lang w:val="en-US"/>
              </w:rPr>
              <w:t xml:space="preserve"> (ДВ, </w:t>
            </w:r>
            <w:proofErr w:type="spellStart"/>
            <w:r w:rsidRPr="0015589B">
              <w:rPr>
                <w:lang w:val="en-US"/>
              </w:rPr>
              <w:t>бр</w:t>
            </w:r>
            <w:proofErr w:type="spellEnd"/>
            <w:r w:rsidRPr="0015589B">
              <w:rPr>
                <w:lang w:val="en-US"/>
              </w:rPr>
              <w:t xml:space="preserve">. 57 </w:t>
            </w:r>
            <w:proofErr w:type="spellStart"/>
            <w:r w:rsidRPr="0015589B">
              <w:rPr>
                <w:lang w:val="en-US"/>
              </w:rPr>
              <w:t>от</w:t>
            </w:r>
            <w:proofErr w:type="spellEnd"/>
            <w:r w:rsidRPr="0015589B">
              <w:rPr>
                <w:lang w:val="en-US"/>
              </w:rPr>
              <w:t xml:space="preserve"> 2016 г.)</w:t>
            </w:r>
            <w:r w:rsidR="00F370F3">
              <w:t>.</w:t>
            </w:r>
          </w:p>
          <w:p w:rsidR="00F370F3" w:rsidRPr="00F370F3" w:rsidRDefault="00F370F3" w:rsidP="00122816">
            <w:pPr>
              <w:jc w:val="both"/>
            </w:pPr>
            <w:r>
              <w:t xml:space="preserve">След предоставяне на специализираните карти и регистри по реда на чл. 32, ал. 5 от ЗКИР, АГКК ще издава удостоверения на строежите, които не са обект на кадастралната карта. Строежите по чл. 32, ал. 1, т. 1, </w:t>
            </w:r>
            <w:proofErr w:type="spellStart"/>
            <w:r>
              <w:t>б.“б</w:t>
            </w:r>
            <w:proofErr w:type="spellEnd"/>
            <w:r>
              <w:t xml:space="preserve">“ и „ж“ от ЗКИР са обекти на специализираните карти и регистри и до тяхното създаване и въвеждането им в експлоатация, законът е определил общината за компетентен орган, който да удостовери, че собственикът/възложителят е предоставил необходимите данни за отразяване на обектите в кадастралните планове. Липсата на преходна норма ще доведе до задължение за възложителя да представя удостоверение от АГКК, </w:t>
            </w:r>
            <w:r>
              <w:lastRenderedPageBreak/>
              <w:t xml:space="preserve">което ще е формално, без съдържание отговарящо на изискванията на наредбата и което ще увеличи излишно административната тежест на заявителя.  </w:t>
            </w:r>
          </w:p>
        </w:tc>
        <w:tc>
          <w:tcPr>
            <w:tcW w:w="3730" w:type="dxa"/>
            <w:shd w:val="clear" w:color="auto" w:fill="auto"/>
          </w:tcPr>
          <w:p w:rsidR="0015589B" w:rsidRDefault="00F370F3" w:rsidP="00122816">
            <w:pPr>
              <w:jc w:val="both"/>
              <w:rPr>
                <w:color w:val="000000"/>
              </w:rPr>
            </w:pPr>
            <w:r>
              <w:rPr>
                <w:color w:val="000000"/>
              </w:rPr>
              <w:lastRenderedPageBreak/>
              <w:t>Създаден е § 11 към преходните и заключителни разпоредби на проекта на наредба.</w:t>
            </w:r>
          </w:p>
        </w:tc>
      </w:tr>
    </w:tbl>
    <w:p w:rsidR="00D14791" w:rsidRDefault="00D14791" w:rsidP="00122816"/>
    <w:p w:rsidR="00DA74E2" w:rsidRDefault="00DA74E2" w:rsidP="00122816"/>
    <w:p w:rsidR="00DA74E2" w:rsidRDefault="00DA74E2" w:rsidP="00122816"/>
    <w:p w:rsidR="00DA74E2" w:rsidRDefault="00DA74E2" w:rsidP="00122816"/>
    <w:p w:rsidR="00DA74E2" w:rsidRDefault="00DA74E2" w:rsidP="00122816"/>
    <w:p w:rsidR="00DA74E2" w:rsidRDefault="00DA74E2" w:rsidP="00122816"/>
    <w:p w:rsidR="00DA74E2" w:rsidRDefault="00DA74E2" w:rsidP="00122816"/>
    <w:p w:rsidR="00DA74E2" w:rsidRDefault="00DA74E2" w:rsidP="00122816"/>
    <w:p w:rsidR="00F370F3" w:rsidRDefault="00F370F3" w:rsidP="00DA74E2">
      <w:pPr>
        <w:spacing w:line="360" w:lineRule="auto"/>
        <w:rPr>
          <w:sz w:val="16"/>
          <w:szCs w:val="16"/>
        </w:rPr>
      </w:pPr>
      <w:bookmarkStart w:id="2" w:name="_GoBack"/>
      <w:bookmarkEnd w:id="2"/>
    </w:p>
    <w:sectPr w:rsidR="00F370F3" w:rsidSect="00990D8A">
      <w:footerReference w:type="default" r:id="rId8"/>
      <w:pgSz w:w="16838" w:h="11906" w:orient="landscape"/>
      <w:pgMar w:top="1588" w:right="851" w:bottom="851" w:left="85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FED" w:rsidRDefault="00B27FED" w:rsidP="00EB06B4">
      <w:r>
        <w:separator/>
      </w:r>
    </w:p>
  </w:endnote>
  <w:endnote w:type="continuationSeparator" w:id="0">
    <w:p w:rsidR="00B27FED" w:rsidRDefault="00B27FED" w:rsidP="00EB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264604"/>
      <w:docPartObj>
        <w:docPartGallery w:val="Page Numbers (Bottom of Page)"/>
        <w:docPartUnique/>
      </w:docPartObj>
    </w:sdtPr>
    <w:sdtEndPr>
      <w:rPr>
        <w:noProof/>
      </w:rPr>
    </w:sdtEndPr>
    <w:sdtContent>
      <w:p w:rsidR="005A34B7" w:rsidRDefault="005A34B7">
        <w:pPr>
          <w:pStyle w:val="Footer"/>
          <w:jc w:val="right"/>
        </w:pPr>
        <w:r>
          <w:fldChar w:fldCharType="begin"/>
        </w:r>
        <w:r>
          <w:instrText xml:space="preserve"> PAGE   \* MERGEFORMAT </w:instrText>
        </w:r>
        <w:r>
          <w:fldChar w:fldCharType="separate"/>
        </w:r>
        <w:r w:rsidR="00737C44">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FED" w:rsidRDefault="00B27FED" w:rsidP="00EB06B4">
      <w:r>
        <w:separator/>
      </w:r>
    </w:p>
  </w:footnote>
  <w:footnote w:type="continuationSeparator" w:id="0">
    <w:p w:rsidR="00B27FED" w:rsidRDefault="00B27FED" w:rsidP="00EB0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454EB"/>
    <w:multiLevelType w:val="multilevel"/>
    <w:tmpl w:val="3EEA043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4D"/>
    <w:rsid w:val="00014385"/>
    <w:rsid w:val="00016839"/>
    <w:rsid w:val="000269D0"/>
    <w:rsid w:val="0003547D"/>
    <w:rsid w:val="000417E5"/>
    <w:rsid w:val="000468C1"/>
    <w:rsid w:val="00060A76"/>
    <w:rsid w:val="0006284D"/>
    <w:rsid w:val="00067BA2"/>
    <w:rsid w:val="00074113"/>
    <w:rsid w:val="00085BED"/>
    <w:rsid w:val="000A1431"/>
    <w:rsid w:val="000A1B50"/>
    <w:rsid w:val="000D64B1"/>
    <w:rsid w:val="000D64FD"/>
    <w:rsid w:val="000E4996"/>
    <w:rsid w:val="000E5019"/>
    <w:rsid w:val="000F14E9"/>
    <w:rsid w:val="000F431A"/>
    <w:rsid w:val="000F5A2E"/>
    <w:rsid w:val="00122816"/>
    <w:rsid w:val="00123234"/>
    <w:rsid w:val="00126D17"/>
    <w:rsid w:val="00130028"/>
    <w:rsid w:val="0014214A"/>
    <w:rsid w:val="0015589B"/>
    <w:rsid w:val="00155ADE"/>
    <w:rsid w:val="00176847"/>
    <w:rsid w:val="001840D1"/>
    <w:rsid w:val="001A39DA"/>
    <w:rsid w:val="001C4A76"/>
    <w:rsid w:val="001D291F"/>
    <w:rsid w:val="001F5FF5"/>
    <w:rsid w:val="00202B80"/>
    <w:rsid w:val="00210BA8"/>
    <w:rsid w:val="00214555"/>
    <w:rsid w:val="00216762"/>
    <w:rsid w:val="00237BA2"/>
    <w:rsid w:val="00247D8B"/>
    <w:rsid w:val="00260971"/>
    <w:rsid w:val="00274169"/>
    <w:rsid w:val="002878FA"/>
    <w:rsid w:val="00290AC8"/>
    <w:rsid w:val="002942E3"/>
    <w:rsid w:val="002C41F9"/>
    <w:rsid w:val="002D4816"/>
    <w:rsid w:val="002D606F"/>
    <w:rsid w:val="002D6DF0"/>
    <w:rsid w:val="002E1762"/>
    <w:rsid w:val="002E3076"/>
    <w:rsid w:val="002F697E"/>
    <w:rsid w:val="00335FF6"/>
    <w:rsid w:val="00355400"/>
    <w:rsid w:val="00375034"/>
    <w:rsid w:val="003812A8"/>
    <w:rsid w:val="003816FA"/>
    <w:rsid w:val="00384D7A"/>
    <w:rsid w:val="00386456"/>
    <w:rsid w:val="003B16B1"/>
    <w:rsid w:val="003D55DB"/>
    <w:rsid w:val="00413C11"/>
    <w:rsid w:val="0041784A"/>
    <w:rsid w:val="00427B12"/>
    <w:rsid w:val="004506A5"/>
    <w:rsid w:val="00462777"/>
    <w:rsid w:val="0047211F"/>
    <w:rsid w:val="00491077"/>
    <w:rsid w:val="00492056"/>
    <w:rsid w:val="004A70F7"/>
    <w:rsid w:val="004C5141"/>
    <w:rsid w:val="004D5B88"/>
    <w:rsid w:val="004F2AD1"/>
    <w:rsid w:val="005355FE"/>
    <w:rsid w:val="00540F3D"/>
    <w:rsid w:val="00553D20"/>
    <w:rsid w:val="00556EE5"/>
    <w:rsid w:val="00561995"/>
    <w:rsid w:val="005A34B7"/>
    <w:rsid w:val="005A6E2F"/>
    <w:rsid w:val="005C5AEF"/>
    <w:rsid w:val="005C6139"/>
    <w:rsid w:val="005C7413"/>
    <w:rsid w:val="005D2D7F"/>
    <w:rsid w:val="005E7EFF"/>
    <w:rsid w:val="006003A4"/>
    <w:rsid w:val="0060288A"/>
    <w:rsid w:val="00606197"/>
    <w:rsid w:val="0061279E"/>
    <w:rsid w:val="006179DA"/>
    <w:rsid w:val="00617E73"/>
    <w:rsid w:val="00635309"/>
    <w:rsid w:val="00641F43"/>
    <w:rsid w:val="00642E21"/>
    <w:rsid w:val="006540A3"/>
    <w:rsid w:val="00660ED0"/>
    <w:rsid w:val="00673B24"/>
    <w:rsid w:val="006773EE"/>
    <w:rsid w:val="00681249"/>
    <w:rsid w:val="0068205C"/>
    <w:rsid w:val="006A607F"/>
    <w:rsid w:val="006B07D7"/>
    <w:rsid w:val="006C2DF4"/>
    <w:rsid w:val="006E2EA0"/>
    <w:rsid w:val="00703FD5"/>
    <w:rsid w:val="007116C9"/>
    <w:rsid w:val="00724191"/>
    <w:rsid w:val="00730B8F"/>
    <w:rsid w:val="0073178C"/>
    <w:rsid w:val="00733A87"/>
    <w:rsid w:val="00733E52"/>
    <w:rsid w:val="00737181"/>
    <w:rsid w:val="00737C44"/>
    <w:rsid w:val="007455FC"/>
    <w:rsid w:val="00751D91"/>
    <w:rsid w:val="00767E7B"/>
    <w:rsid w:val="007704B8"/>
    <w:rsid w:val="0077381C"/>
    <w:rsid w:val="007A0C43"/>
    <w:rsid w:val="007A21D8"/>
    <w:rsid w:val="007A72DE"/>
    <w:rsid w:val="007A7340"/>
    <w:rsid w:val="007E1CBB"/>
    <w:rsid w:val="007E76C7"/>
    <w:rsid w:val="007F5BB3"/>
    <w:rsid w:val="007F6D14"/>
    <w:rsid w:val="00813DD3"/>
    <w:rsid w:val="00815B67"/>
    <w:rsid w:val="008220FD"/>
    <w:rsid w:val="00827FA3"/>
    <w:rsid w:val="008316F7"/>
    <w:rsid w:val="008462EA"/>
    <w:rsid w:val="008706DB"/>
    <w:rsid w:val="00874FCE"/>
    <w:rsid w:val="008B2B84"/>
    <w:rsid w:val="008B4B31"/>
    <w:rsid w:val="008C2AE7"/>
    <w:rsid w:val="008D0E39"/>
    <w:rsid w:val="008E68C2"/>
    <w:rsid w:val="00904908"/>
    <w:rsid w:val="00924CCD"/>
    <w:rsid w:val="00947E61"/>
    <w:rsid w:val="00956F9C"/>
    <w:rsid w:val="00990D8A"/>
    <w:rsid w:val="00991A44"/>
    <w:rsid w:val="009B415F"/>
    <w:rsid w:val="009D18A7"/>
    <w:rsid w:val="009F4093"/>
    <w:rsid w:val="00A13BFB"/>
    <w:rsid w:val="00A1400F"/>
    <w:rsid w:val="00A20ADD"/>
    <w:rsid w:val="00A216F7"/>
    <w:rsid w:val="00A435EE"/>
    <w:rsid w:val="00A50E4F"/>
    <w:rsid w:val="00A57F85"/>
    <w:rsid w:val="00A8149B"/>
    <w:rsid w:val="00AD3AA3"/>
    <w:rsid w:val="00AE0245"/>
    <w:rsid w:val="00AE3339"/>
    <w:rsid w:val="00AE5F3F"/>
    <w:rsid w:val="00AF4EDE"/>
    <w:rsid w:val="00AF5CCD"/>
    <w:rsid w:val="00B16C75"/>
    <w:rsid w:val="00B27FED"/>
    <w:rsid w:val="00B3083D"/>
    <w:rsid w:val="00B3595C"/>
    <w:rsid w:val="00B3710D"/>
    <w:rsid w:val="00B47730"/>
    <w:rsid w:val="00B51779"/>
    <w:rsid w:val="00B76D40"/>
    <w:rsid w:val="00B943BB"/>
    <w:rsid w:val="00BB096E"/>
    <w:rsid w:val="00BB28E2"/>
    <w:rsid w:val="00BE2232"/>
    <w:rsid w:val="00C10DE9"/>
    <w:rsid w:val="00C167E3"/>
    <w:rsid w:val="00C50267"/>
    <w:rsid w:val="00CB1486"/>
    <w:rsid w:val="00CE7AF8"/>
    <w:rsid w:val="00D14791"/>
    <w:rsid w:val="00D24771"/>
    <w:rsid w:val="00D266C9"/>
    <w:rsid w:val="00D61BDB"/>
    <w:rsid w:val="00D63EA4"/>
    <w:rsid w:val="00D64269"/>
    <w:rsid w:val="00DA6B94"/>
    <w:rsid w:val="00DA74E2"/>
    <w:rsid w:val="00DE2AAE"/>
    <w:rsid w:val="00DE634C"/>
    <w:rsid w:val="00E074AC"/>
    <w:rsid w:val="00E2380C"/>
    <w:rsid w:val="00E23872"/>
    <w:rsid w:val="00E25A8D"/>
    <w:rsid w:val="00E32407"/>
    <w:rsid w:val="00E32932"/>
    <w:rsid w:val="00E63F50"/>
    <w:rsid w:val="00E73FA7"/>
    <w:rsid w:val="00E76569"/>
    <w:rsid w:val="00E80DE3"/>
    <w:rsid w:val="00E90F99"/>
    <w:rsid w:val="00E93AB6"/>
    <w:rsid w:val="00EB06B4"/>
    <w:rsid w:val="00EC7349"/>
    <w:rsid w:val="00ED057E"/>
    <w:rsid w:val="00ED5441"/>
    <w:rsid w:val="00ED5FFB"/>
    <w:rsid w:val="00EF6B09"/>
    <w:rsid w:val="00F01A4E"/>
    <w:rsid w:val="00F03197"/>
    <w:rsid w:val="00F05073"/>
    <w:rsid w:val="00F25D19"/>
    <w:rsid w:val="00F370F3"/>
    <w:rsid w:val="00F52502"/>
    <w:rsid w:val="00F557D0"/>
    <w:rsid w:val="00F650DD"/>
    <w:rsid w:val="00F67E6A"/>
    <w:rsid w:val="00F71D38"/>
    <w:rsid w:val="00F73E9A"/>
    <w:rsid w:val="00FE0B7A"/>
    <w:rsid w:val="00FF0C93"/>
    <w:rsid w:val="00FF56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E1E463-D8DE-4BF5-AB68-EC4DE83D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4D"/>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6B4"/>
    <w:pPr>
      <w:tabs>
        <w:tab w:val="center" w:pos="4536"/>
        <w:tab w:val="right" w:pos="9072"/>
      </w:tabs>
    </w:pPr>
  </w:style>
  <w:style w:type="character" w:customStyle="1" w:styleId="HeaderChar">
    <w:name w:val="Header Char"/>
    <w:basedOn w:val="DefaultParagraphFont"/>
    <w:link w:val="Header"/>
    <w:uiPriority w:val="99"/>
    <w:rsid w:val="00EB06B4"/>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B06B4"/>
    <w:pPr>
      <w:tabs>
        <w:tab w:val="center" w:pos="4536"/>
        <w:tab w:val="right" w:pos="9072"/>
      </w:tabs>
    </w:pPr>
  </w:style>
  <w:style w:type="character" w:customStyle="1" w:styleId="FooterChar">
    <w:name w:val="Footer Char"/>
    <w:basedOn w:val="DefaultParagraphFont"/>
    <w:link w:val="Footer"/>
    <w:uiPriority w:val="99"/>
    <w:rsid w:val="00EB06B4"/>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EB06B4"/>
    <w:rPr>
      <w:rFonts w:ascii="Tahoma" w:hAnsi="Tahoma" w:cs="Tahoma"/>
      <w:sz w:val="16"/>
      <w:szCs w:val="16"/>
    </w:rPr>
  </w:style>
  <w:style w:type="character" w:customStyle="1" w:styleId="BalloonTextChar">
    <w:name w:val="Balloon Text Char"/>
    <w:basedOn w:val="DefaultParagraphFont"/>
    <w:link w:val="BalloonText"/>
    <w:uiPriority w:val="99"/>
    <w:semiHidden/>
    <w:rsid w:val="00EB06B4"/>
    <w:rPr>
      <w:rFonts w:ascii="Tahoma" w:eastAsia="Times New Roman" w:hAnsi="Tahoma" w:cs="Tahoma"/>
      <w:sz w:val="16"/>
      <w:szCs w:val="16"/>
      <w:lang w:eastAsia="bg-BG"/>
    </w:rPr>
  </w:style>
  <w:style w:type="character" w:styleId="Hyperlink">
    <w:name w:val="Hyperlink"/>
    <w:rsid w:val="00EB06B4"/>
    <w:rPr>
      <w:color w:val="0000FF"/>
      <w:u w:val="single"/>
    </w:rPr>
  </w:style>
  <w:style w:type="character" w:customStyle="1" w:styleId="newdocreference1">
    <w:name w:val="newdocreference1"/>
    <w:basedOn w:val="DefaultParagraphFont"/>
    <w:rsid w:val="00176847"/>
    <w:rPr>
      <w:i w:val="0"/>
      <w:iCs w:val="0"/>
      <w:color w:val="0000FF"/>
      <w:u w:val="single"/>
    </w:rPr>
  </w:style>
  <w:style w:type="character" w:customStyle="1" w:styleId="2">
    <w:name w:val="Основен текст (2)_"/>
    <w:basedOn w:val="DefaultParagraphFont"/>
    <w:link w:val="20"/>
    <w:rsid w:val="0014214A"/>
    <w:rPr>
      <w:rFonts w:ascii="Times New Roman" w:eastAsia="Times New Roman" w:hAnsi="Times New Roman" w:cs="Times New Roman"/>
      <w:shd w:val="clear" w:color="auto" w:fill="FFFFFF"/>
    </w:rPr>
  </w:style>
  <w:style w:type="character" w:customStyle="1" w:styleId="21">
    <w:name w:val="Основен текст (2) + Удебелен"/>
    <w:basedOn w:val="2"/>
    <w:rsid w:val="0014214A"/>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4">
    <w:name w:val="Основен текст (4) + Не е удебелен"/>
    <w:basedOn w:val="DefaultParagraphFont"/>
    <w:rsid w:val="0014214A"/>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customStyle="1" w:styleId="20">
    <w:name w:val="Основен текст (2)"/>
    <w:basedOn w:val="Normal"/>
    <w:link w:val="2"/>
    <w:rsid w:val="0014214A"/>
    <w:pPr>
      <w:widowControl w:val="0"/>
      <w:shd w:val="clear" w:color="auto" w:fill="FFFFFF"/>
      <w:spacing w:before="300" w:line="413" w:lineRule="exact"/>
      <w:jc w:val="both"/>
    </w:pPr>
    <w:rPr>
      <w:sz w:val="22"/>
      <w:szCs w:val="22"/>
      <w:lang w:eastAsia="en-US"/>
    </w:rPr>
  </w:style>
  <w:style w:type="character" w:customStyle="1" w:styleId="40">
    <w:name w:val="Основен текст (4)_"/>
    <w:basedOn w:val="DefaultParagraphFont"/>
    <w:link w:val="41"/>
    <w:rsid w:val="0014214A"/>
    <w:rPr>
      <w:rFonts w:ascii="Times New Roman" w:eastAsia="Times New Roman" w:hAnsi="Times New Roman" w:cs="Times New Roman"/>
      <w:b/>
      <w:bCs/>
      <w:shd w:val="clear" w:color="auto" w:fill="FFFFFF"/>
    </w:rPr>
  </w:style>
  <w:style w:type="paragraph" w:customStyle="1" w:styleId="41">
    <w:name w:val="Основен текст (4)"/>
    <w:basedOn w:val="Normal"/>
    <w:link w:val="40"/>
    <w:rsid w:val="0014214A"/>
    <w:pPr>
      <w:widowControl w:val="0"/>
      <w:shd w:val="clear" w:color="auto" w:fill="FFFFFF"/>
      <w:spacing w:line="413" w:lineRule="exact"/>
      <w:jc w:val="both"/>
    </w:pPr>
    <w:rPr>
      <w:b/>
      <w:bCs/>
      <w:sz w:val="22"/>
      <w:szCs w:val="22"/>
      <w:lang w:eastAsia="en-US"/>
    </w:rPr>
  </w:style>
  <w:style w:type="character" w:customStyle="1" w:styleId="st1">
    <w:name w:val="st1"/>
    <w:basedOn w:val="DefaultParagraphFont"/>
    <w:rsid w:val="0047211F"/>
  </w:style>
  <w:style w:type="paragraph" w:styleId="ListParagraph">
    <w:name w:val="List Paragraph"/>
    <w:basedOn w:val="Normal"/>
    <w:uiPriority w:val="34"/>
    <w:qFormat/>
    <w:rsid w:val="00335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0960">
      <w:bodyDiv w:val="1"/>
      <w:marLeft w:val="0"/>
      <w:marRight w:val="0"/>
      <w:marTop w:val="0"/>
      <w:marBottom w:val="0"/>
      <w:divBdr>
        <w:top w:val="none" w:sz="0" w:space="0" w:color="auto"/>
        <w:left w:val="none" w:sz="0" w:space="0" w:color="auto"/>
        <w:bottom w:val="none" w:sz="0" w:space="0" w:color="auto"/>
        <w:right w:val="none" w:sz="0" w:space="0" w:color="auto"/>
      </w:divBdr>
      <w:divsChild>
        <w:div w:id="1314067725">
          <w:marLeft w:val="0"/>
          <w:marRight w:val="0"/>
          <w:marTop w:val="0"/>
          <w:marBottom w:val="0"/>
          <w:divBdr>
            <w:top w:val="none" w:sz="0" w:space="0" w:color="auto"/>
            <w:left w:val="none" w:sz="0" w:space="0" w:color="auto"/>
            <w:bottom w:val="none" w:sz="0" w:space="0" w:color="auto"/>
            <w:right w:val="none" w:sz="0" w:space="0" w:color="auto"/>
          </w:divBdr>
          <w:divsChild>
            <w:div w:id="1066756439">
              <w:marLeft w:val="300"/>
              <w:marRight w:val="300"/>
              <w:marTop w:val="0"/>
              <w:marBottom w:val="0"/>
              <w:divBdr>
                <w:top w:val="none" w:sz="0" w:space="0" w:color="auto"/>
                <w:left w:val="none" w:sz="0" w:space="0" w:color="auto"/>
                <w:bottom w:val="none" w:sz="0" w:space="0" w:color="auto"/>
                <w:right w:val="none" w:sz="0" w:space="0" w:color="auto"/>
              </w:divBdr>
              <w:divsChild>
                <w:div w:id="1406878890">
                  <w:marLeft w:val="0"/>
                  <w:marRight w:val="0"/>
                  <w:marTop w:val="0"/>
                  <w:marBottom w:val="0"/>
                  <w:divBdr>
                    <w:top w:val="none" w:sz="0" w:space="0" w:color="auto"/>
                    <w:left w:val="none" w:sz="0" w:space="0" w:color="auto"/>
                    <w:bottom w:val="none" w:sz="0" w:space="0" w:color="auto"/>
                    <w:right w:val="none" w:sz="0" w:space="0" w:color="auto"/>
                  </w:divBdr>
                  <w:divsChild>
                    <w:div w:id="1455248165">
                      <w:marLeft w:val="0"/>
                      <w:marRight w:val="0"/>
                      <w:marTop w:val="0"/>
                      <w:marBottom w:val="0"/>
                      <w:divBdr>
                        <w:top w:val="none" w:sz="0" w:space="0" w:color="auto"/>
                        <w:left w:val="none" w:sz="0" w:space="0" w:color="auto"/>
                        <w:bottom w:val="none" w:sz="0" w:space="0" w:color="auto"/>
                        <w:right w:val="none" w:sz="0" w:space="0" w:color="auto"/>
                      </w:divBdr>
                      <w:divsChild>
                        <w:div w:id="58942306">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307322710">
      <w:bodyDiv w:val="1"/>
      <w:marLeft w:val="0"/>
      <w:marRight w:val="0"/>
      <w:marTop w:val="0"/>
      <w:marBottom w:val="0"/>
      <w:divBdr>
        <w:top w:val="none" w:sz="0" w:space="0" w:color="auto"/>
        <w:left w:val="none" w:sz="0" w:space="0" w:color="auto"/>
        <w:bottom w:val="none" w:sz="0" w:space="0" w:color="auto"/>
        <w:right w:val="none" w:sz="0" w:space="0" w:color="auto"/>
      </w:divBdr>
      <w:divsChild>
        <w:div w:id="1492330306">
          <w:marLeft w:val="0"/>
          <w:marRight w:val="0"/>
          <w:marTop w:val="0"/>
          <w:marBottom w:val="0"/>
          <w:divBdr>
            <w:top w:val="none" w:sz="0" w:space="0" w:color="auto"/>
            <w:left w:val="none" w:sz="0" w:space="0" w:color="auto"/>
            <w:bottom w:val="none" w:sz="0" w:space="0" w:color="auto"/>
            <w:right w:val="none" w:sz="0" w:space="0" w:color="auto"/>
          </w:divBdr>
          <w:divsChild>
            <w:div w:id="1161579471">
              <w:marLeft w:val="300"/>
              <w:marRight w:val="300"/>
              <w:marTop w:val="0"/>
              <w:marBottom w:val="0"/>
              <w:divBdr>
                <w:top w:val="none" w:sz="0" w:space="0" w:color="auto"/>
                <w:left w:val="none" w:sz="0" w:space="0" w:color="auto"/>
                <w:bottom w:val="none" w:sz="0" w:space="0" w:color="auto"/>
                <w:right w:val="none" w:sz="0" w:space="0" w:color="auto"/>
              </w:divBdr>
              <w:divsChild>
                <w:div w:id="1676376401">
                  <w:marLeft w:val="0"/>
                  <w:marRight w:val="0"/>
                  <w:marTop w:val="0"/>
                  <w:marBottom w:val="0"/>
                  <w:divBdr>
                    <w:top w:val="none" w:sz="0" w:space="0" w:color="auto"/>
                    <w:left w:val="none" w:sz="0" w:space="0" w:color="auto"/>
                    <w:bottom w:val="none" w:sz="0" w:space="0" w:color="auto"/>
                    <w:right w:val="none" w:sz="0" w:space="0" w:color="auto"/>
                  </w:divBdr>
                  <w:divsChild>
                    <w:div w:id="653291040">
                      <w:marLeft w:val="0"/>
                      <w:marRight w:val="0"/>
                      <w:marTop w:val="0"/>
                      <w:marBottom w:val="0"/>
                      <w:divBdr>
                        <w:top w:val="none" w:sz="0" w:space="0" w:color="auto"/>
                        <w:left w:val="none" w:sz="0" w:space="0" w:color="auto"/>
                        <w:bottom w:val="none" w:sz="0" w:space="0" w:color="auto"/>
                        <w:right w:val="none" w:sz="0" w:space="0" w:color="auto"/>
                      </w:divBdr>
                      <w:divsChild>
                        <w:div w:id="1069571980">
                          <w:marLeft w:val="0"/>
                          <w:marRight w:val="0"/>
                          <w:marTop w:val="0"/>
                          <w:marBottom w:val="0"/>
                          <w:divBdr>
                            <w:top w:val="single" w:sz="6" w:space="5" w:color="FFFFFF"/>
                            <w:left w:val="none" w:sz="0" w:space="0" w:color="auto"/>
                            <w:bottom w:val="none" w:sz="0" w:space="0" w:color="auto"/>
                            <w:right w:val="none" w:sz="0" w:space="0" w:color="auto"/>
                          </w:divBdr>
                          <w:divsChild>
                            <w:div w:id="1548300902">
                              <w:marLeft w:val="0"/>
                              <w:marRight w:val="105"/>
                              <w:marTop w:val="0"/>
                              <w:marBottom w:val="90"/>
                              <w:divBdr>
                                <w:top w:val="single" w:sz="6" w:space="1" w:color="D8D8D8"/>
                                <w:left w:val="single" w:sz="6" w:space="6" w:color="D8D8D8"/>
                                <w:bottom w:val="single" w:sz="6" w:space="1" w:color="D8D8D8"/>
                                <w:right w:val="single" w:sz="6" w:space="6" w:color="D8D8D8"/>
                              </w:divBdr>
                            </w:div>
                            <w:div w:id="2268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3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1DE6-8DF2-4AF0-A073-008CC49C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5492</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Georgieva</dc:creator>
  <cp:lastModifiedBy>STOYANKA IVANOVA ILOVA</cp:lastModifiedBy>
  <cp:revision>10</cp:revision>
  <cp:lastPrinted>2019-09-12T12:59:00Z</cp:lastPrinted>
  <dcterms:created xsi:type="dcterms:W3CDTF">2019-10-01T11:27:00Z</dcterms:created>
  <dcterms:modified xsi:type="dcterms:W3CDTF">2019-10-29T13:43:00Z</dcterms:modified>
</cp:coreProperties>
</file>